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E30D7" w:rsidRDefault="006E30D7">
      <w:pPr>
        <w:rPr>
          <w:rFonts w:asciiTheme="minorHAnsi" w:hAnsiTheme="minorHAnsi" w:cstheme="minorHAnsi"/>
          <w:sz w:val="64"/>
          <w:szCs w:val="64"/>
        </w:rPr>
      </w:pPr>
      <w:r>
        <w:rPr>
          <w:rFonts w:asciiTheme="minorHAnsi" w:hAnsiTheme="minorHAnsi" w:cstheme="minorHAnsi"/>
          <w:sz w:val="64"/>
          <w:szCs w:val="64"/>
        </w:rPr>
        <w:t>Function of Skeleton</w:t>
      </w:r>
    </w:p>
    <w:p w:rsidR="006E30D7" w:rsidRDefault="006E30D7">
      <w:pPr>
        <w:rPr>
          <w:rFonts w:asciiTheme="minorHAnsi" w:hAnsiTheme="minorHAnsi" w:cstheme="minorHAnsi"/>
          <w:sz w:val="64"/>
          <w:szCs w:val="64"/>
        </w:rPr>
      </w:pPr>
      <w:r>
        <w:rPr>
          <w:rFonts w:asciiTheme="minorHAnsi" w:hAnsiTheme="minorHAnsi" w:cstheme="minorHAnsi"/>
          <w:sz w:val="64"/>
          <w:szCs w:val="64"/>
        </w:rPr>
        <w:br w:type="page"/>
      </w:r>
    </w:p>
    <w:p w:rsidR="006E30D7" w:rsidRDefault="006E30D7">
      <w:pPr>
        <w:rPr>
          <w:rFonts w:asciiTheme="minorHAnsi" w:hAnsiTheme="minorHAnsi" w:cstheme="minorHAnsi"/>
          <w:sz w:val="64"/>
          <w:szCs w:val="64"/>
        </w:rPr>
      </w:pPr>
      <w:r>
        <w:rPr>
          <w:noProof/>
        </w:rPr>
        <w:lastRenderedPageBreak/>
        <w:drawing>
          <wp:inline distT="0" distB="0" distL="0" distR="0">
            <wp:extent cx="5486400" cy="6705600"/>
            <wp:effectExtent l="0" t="0" r="0" b="0"/>
            <wp:docPr id="5" name="Picture 5" descr="http://library.open.oregonstate.edu/aandp/wp-content/uploads/sites/9/2018/10/mineral_storage_revised-838x1024-e1541441390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ibrary.open.oregonstate.edu/aandp/wp-content/uploads/sites/9/2018/10/mineral_storage_revised-838x1024-e1541441390166.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86400" cy="6705600"/>
                    </a:xfrm>
                    <a:prstGeom prst="rect">
                      <a:avLst/>
                    </a:prstGeom>
                    <a:noFill/>
                    <a:ln>
                      <a:noFill/>
                    </a:ln>
                  </pic:spPr>
                </pic:pic>
              </a:graphicData>
            </a:graphic>
          </wp:inline>
        </w:drawing>
      </w:r>
    </w:p>
    <w:p w:rsidR="006E30D7" w:rsidRDefault="00F92017">
      <w:pPr>
        <w:rPr>
          <w:rFonts w:asciiTheme="minorHAnsi" w:hAnsiTheme="minorHAnsi" w:cstheme="minorHAnsi"/>
          <w:sz w:val="64"/>
          <w:szCs w:val="64"/>
        </w:rPr>
      </w:pPr>
      <w:r>
        <w:rPr>
          <w:rStyle w:val="Strong"/>
          <w:rFonts w:ascii="Georgia" w:hAnsi="Georgia"/>
          <w:color w:val="000000"/>
          <w:sz w:val="19"/>
          <w:szCs w:val="19"/>
          <w:bdr w:val="none" w:sz="0" w:space="0" w:color="auto" w:frame="1"/>
          <w:shd w:val="clear" w:color="auto" w:fill="FFFFFF"/>
        </w:rPr>
        <w:t>Figure 6.11:</w:t>
      </w:r>
      <w:r>
        <w:rPr>
          <w:rFonts w:ascii="Georgia" w:hAnsi="Georgia"/>
          <w:color w:val="000000"/>
          <w:sz w:val="19"/>
          <w:szCs w:val="19"/>
          <w:shd w:val="clear" w:color="auto" w:fill="FFFFFF"/>
        </w:rPr>
        <w:t> Functions of the skeletal system.</w:t>
      </w:r>
    </w:p>
    <w:p w:rsidR="006E30D7" w:rsidRDefault="006E30D7">
      <w:pPr>
        <w:rPr>
          <w:rFonts w:asciiTheme="minorHAnsi" w:hAnsiTheme="minorHAnsi" w:cstheme="minorHAnsi"/>
          <w:sz w:val="64"/>
          <w:szCs w:val="64"/>
        </w:rPr>
      </w:pPr>
      <w:r>
        <w:rPr>
          <w:rFonts w:asciiTheme="minorHAnsi" w:hAnsiTheme="minorHAnsi" w:cstheme="minorHAnsi"/>
          <w:sz w:val="64"/>
          <w:szCs w:val="64"/>
        </w:rPr>
        <w:br w:type="page"/>
      </w:r>
    </w:p>
    <w:p w:rsidR="00F92017" w:rsidRDefault="00F92017">
      <w:pPr>
        <w:rPr>
          <w:rFonts w:asciiTheme="minorHAnsi" w:hAnsiTheme="minorHAnsi" w:cstheme="minorHAnsi"/>
          <w:sz w:val="64"/>
          <w:szCs w:val="64"/>
        </w:rPr>
      </w:pPr>
      <w:r>
        <w:rPr>
          <w:noProof/>
        </w:rPr>
        <w:lastRenderedPageBreak/>
        <w:drawing>
          <wp:inline distT="0" distB="0" distL="0" distR="0">
            <wp:extent cx="5486400" cy="4929692"/>
            <wp:effectExtent l="0" t="0" r="0" b="4445"/>
            <wp:docPr id="9" name="Picture 9" descr="http://library.open.oregonstate.edu/aandp/wp-content/uploads/sites/9/2018/10/marrow_skele-1024x920-e1541441482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ibrary.open.oregonstate.edu/aandp/wp-content/uploads/sites/9/2018/10/marrow_skele-1024x920-e1541441482208.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86400" cy="4929692"/>
                    </a:xfrm>
                    <a:prstGeom prst="rect">
                      <a:avLst/>
                    </a:prstGeom>
                    <a:noFill/>
                    <a:ln>
                      <a:noFill/>
                    </a:ln>
                  </pic:spPr>
                </pic:pic>
              </a:graphicData>
            </a:graphic>
          </wp:inline>
        </w:drawing>
      </w:r>
    </w:p>
    <w:p w:rsidR="00F92017" w:rsidRPr="00F92017" w:rsidRDefault="00F92017" w:rsidP="00F92017">
      <w:pPr>
        <w:spacing w:line="288" w:lineRule="atLeast"/>
        <w:textAlignment w:val="baseline"/>
        <w:rPr>
          <w:rFonts w:ascii="Georgia" w:hAnsi="Georgia"/>
          <w:color w:val="000000"/>
          <w:sz w:val="19"/>
          <w:szCs w:val="19"/>
        </w:rPr>
      </w:pPr>
      <w:r w:rsidRPr="00F92017">
        <w:rPr>
          <w:rFonts w:ascii="Georgia" w:hAnsi="Georgia"/>
          <w:b/>
          <w:bCs/>
          <w:color w:val="000000"/>
          <w:sz w:val="19"/>
          <w:szCs w:val="19"/>
          <w:bdr w:val="none" w:sz="0" w:space="0" w:color="auto" w:frame="1"/>
        </w:rPr>
        <w:t>Figure 6.12:</w:t>
      </w:r>
      <w:r w:rsidRPr="00F92017">
        <w:rPr>
          <w:rFonts w:ascii="Georgia" w:hAnsi="Georgia"/>
          <w:color w:val="000000"/>
          <w:sz w:val="19"/>
          <w:szCs w:val="19"/>
        </w:rPr>
        <w:t> Bones contain variable amounts of yellow and/or red bone marrow. Yellow bone marrow stores fat and red bone marrow is responsible for producing blood cells (hematopoiesis).</w:t>
      </w:r>
    </w:p>
    <w:p w:rsidR="00F92017" w:rsidRDefault="00F92017">
      <w:pPr>
        <w:rPr>
          <w:rFonts w:asciiTheme="minorHAnsi" w:hAnsiTheme="minorHAnsi" w:cstheme="minorHAnsi"/>
          <w:sz w:val="64"/>
          <w:szCs w:val="64"/>
        </w:rPr>
      </w:pPr>
      <w:r>
        <w:rPr>
          <w:rFonts w:asciiTheme="minorHAnsi" w:hAnsiTheme="minorHAnsi" w:cstheme="minorHAnsi"/>
          <w:sz w:val="64"/>
          <w:szCs w:val="64"/>
        </w:rPr>
        <w:br w:type="page"/>
      </w:r>
    </w:p>
    <w:p w:rsidR="00B972D6" w:rsidRDefault="00B972D6">
      <w:pPr>
        <w:rPr>
          <w:rFonts w:asciiTheme="minorHAnsi" w:hAnsiTheme="minorHAnsi" w:cstheme="minorHAnsi"/>
          <w:sz w:val="64"/>
          <w:szCs w:val="64"/>
        </w:rPr>
      </w:pPr>
      <w:r>
        <w:rPr>
          <w:rFonts w:asciiTheme="minorHAnsi" w:hAnsiTheme="minorHAnsi" w:cstheme="minorHAnsi"/>
          <w:sz w:val="64"/>
          <w:szCs w:val="64"/>
        </w:rPr>
        <w:lastRenderedPageBreak/>
        <w:t>Classification of Bones</w:t>
      </w:r>
    </w:p>
    <w:p w:rsidR="00B972D6" w:rsidRDefault="00B972D6">
      <w:pPr>
        <w:rPr>
          <w:rFonts w:asciiTheme="minorHAnsi" w:hAnsiTheme="minorHAnsi" w:cstheme="minorHAnsi"/>
          <w:sz w:val="64"/>
          <w:szCs w:val="64"/>
        </w:rPr>
      </w:pPr>
      <w:r>
        <w:rPr>
          <w:rFonts w:asciiTheme="minorHAnsi" w:hAnsiTheme="minorHAnsi" w:cstheme="minorHAnsi"/>
          <w:sz w:val="64"/>
          <w:szCs w:val="64"/>
        </w:rPr>
        <w:br w:type="page"/>
      </w:r>
    </w:p>
    <w:p w:rsidR="00B972D6" w:rsidRDefault="00F92017">
      <w:pPr>
        <w:rPr>
          <w:rFonts w:asciiTheme="minorHAnsi" w:hAnsiTheme="minorHAnsi" w:cstheme="minorHAnsi"/>
          <w:sz w:val="64"/>
          <w:szCs w:val="64"/>
        </w:rPr>
      </w:pPr>
      <w:r>
        <w:rPr>
          <w:rStyle w:val="Strong"/>
          <w:rFonts w:ascii="Georgia" w:hAnsi="Georgia"/>
          <w:color w:val="000000"/>
          <w:bdr w:val="none" w:sz="0" w:space="0" w:color="auto" w:frame="1"/>
          <w:shd w:val="clear" w:color="auto" w:fill="FFFFFF"/>
        </w:rPr>
        <w:lastRenderedPageBreak/>
        <w:t>Figure 6.21:</w:t>
      </w:r>
      <w:r>
        <w:rPr>
          <w:rFonts w:ascii="Georgia" w:hAnsi="Georgia"/>
          <w:color w:val="000000"/>
          <w:shd w:val="clear" w:color="auto" w:fill="FFFFFF"/>
        </w:rPr>
        <w:t> Classifications of Bones. Bones are classified according to their shape.</w:t>
      </w:r>
      <w:r w:rsidR="006E30D7">
        <w:rPr>
          <w:noProof/>
        </w:rPr>
        <w:drawing>
          <wp:inline distT="0" distB="0" distL="0" distR="0">
            <wp:extent cx="5486400" cy="6430384"/>
            <wp:effectExtent l="0" t="0" r="0" b="8890"/>
            <wp:docPr id="10" name="Picture 10" descr="http://library.open.oregonstate.edu/aandp/wp-content/uploads/sites/9/2018/10/601_Bone_Classification_revised-874x1024-e1541451160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library.open.oregonstate.edu/aandp/wp-content/uploads/sites/9/2018/10/601_Bone_Classification_revised-874x1024-e1541451160706.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86400" cy="6430384"/>
                    </a:xfrm>
                    <a:prstGeom prst="rect">
                      <a:avLst/>
                    </a:prstGeom>
                    <a:noFill/>
                    <a:ln>
                      <a:noFill/>
                    </a:ln>
                  </pic:spPr>
                </pic:pic>
              </a:graphicData>
            </a:graphic>
          </wp:inline>
        </w:drawing>
      </w:r>
    </w:p>
    <w:p w:rsidR="00B972D6" w:rsidRDefault="00B972D6">
      <w:pPr>
        <w:rPr>
          <w:rFonts w:asciiTheme="minorHAnsi" w:hAnsiTheme="minorHAnsi" w:cstheme="minorHAnsi"/>
          <w:sz w:val="64"/>
          <w:szCs w:val="64"/>
        </w:rPr>
      </w:pPr>
      <w:r>
        <w:rPr>
          <w:rFonts w:asciiTheme="minorHAnsi" w:hAnsiTheme="minorHAnsi" w:cstheme="minorHAnsi"/>
          <w:sz w:val="64"/>
          <w:szCs w:val="64"/>
        </w:rPr>
        <w:br w:type="page"/>
      </w:r>
    </w:p>
    <w:tbl>
      <w:tblPr>
        <w:tblW w:w="10785" w:type="dxa"/>
        <w:tblBorders>
          <w:top w:val="single" w:sz="6" w:space="0" w:color="E7E7E7"/>
          <w:left w:val="single" w:sz="6" w:space="0" w:color="E7E7E7"/>
          <w:bottom w:val="single" w:sz="6" w:space="0" w:color="E7E7E7"/>
          <w:right w:val="single" w:sz="6" w:space="0" w:color="E7E7E7"/>
        </w:tblBorders>
        <w:shd w:val="clear" w:color="auto" w:fill="FFFFFF"/>
        <w:tblCellMar>
          <w:left w:w="0" w:type="dxa"/>
          <w:right w:w="0" w:type="dxa"/>
        </w:tblCellMar>
        <w:tblLook w:val="04A0" w:firstRow="1" w:lastRow="0" w:firstColumn="1" w:lastColumn="0" w:noHBand="0" w:noVBand="1"/>
        <w:tblDescription w:val="Bone Classifications"/>
      </w:tblPr>
      <w:tblGrid>
        <w:gridCol w:w="2025"/>
        <w:gridCol w:w="2938"/>
        <w:gridCol w:w="2858"/>
        <w:gridCol w:w="2964"/>
      </w:tblGrid>
      <w:tr w:rsidR="00F92017" w:rsidTr="00F92017">
        <w:trPr>
          <w:tblHeader/>
        </w:trPr>
        <w:tc>
          <w:tcPr>
            <w:tcW w:w="0" w:type="auto"/>
            <w:gridSpan w:val="4"/>
            <w:tcBorders>
              <w:top w:val="single" w:sz="6" w:space="0" w:color="DDDDDD"/>
              <w:left w:val="single" w:sz="6" w:space="0" w:color="DDDDDD"/>
              <w:bottom w:val="single" w:sz="6" w:space="0" w:color="DDDDDD"/>
              <w:right w:val="single" w:sz="6" w:space="0" w:color="DDDDDD"/>
            </w:tcBorders>
            <w:shd w:val="clear" w:color="auto" w:fill="E7E7E7"/>
            <w:tcMar>
              <w:top w:w="135" w:type="dxa"/>
              <w:left w:w="360" w:type="dxa"/>
              <w:bottom w:w="135" w:type="dxa"/>
              <w:right w:w="360" w:type="dxa"/>
            </w:tcMar>
            <w:vAlign w:val="center"/>
            <w:hideMark/>
          </w:tcPr>
          <w:p w:rsidR="00F92017" w:rsidRDefault="00F92017">
            <w:pPr>
              <w:spacing w:line="270" w:lineRule="atLeast"/>
              <w:rPr>
                <w:rFonts w:ascii="Georgia" w:hAnsi="Georgia"/>
                <w:b/>
                <w:bCs/>
                <w:color w:val="000000"/>
                <w:sz w:val="18"/>
                <w:szCs w:val="18"/>
              </w:rPr>
            </w:pPr>
            <w:r>
              <w:rPr>
                <w:rFonts w:ascii="Georgia" w:hAnsi="Georgia"/>
                <w:b/>
                <w:bCs/>
                <w:color w:val="000000"/>
                <w:sz w:val="18"/>
                <w:szCs w:val="18"/>
              </w:rPr>
              <w:lastRenderedPageBreak/>
              <w:t>Bone Classifications (Table 1)</w:t>
            </w:r>
          </w:p>
        </w:tc>
      </w:tr>
      <w:tr w:rsidR="00F92017" w:rsidTr="00F92017">
        <w:trPr>
          <w:tblHeader/>
        </w:trPr>
        <w:tc>
          <w:tcPr>
            <w:tcW w:w="0" w:type="auto"/>
            <w:tcBorders>
              <w:top w:val="single" w:sz="6" w:space="0" w:color="DDDDDD"/>
              <w:left w:val="single" w:sz="6" w:space="0" w:color="DDDDDD"/>
              <w:bottom w:val="single" w:sz="6" w:space="0" w:color="DDDDDD"/>
              <w:right w:val="single" w:sz="6" w:space="0" w:color="DDDDDD"/>
            </w:tcBorders>
            <w:shd w:val="clear" w:color="auto" w:fill="E7E7E7"/>
            <w:tcMar>
              <w:top w:w="135" w:type="dxa"/>
              <w:left w:w="360" w:type="dxa"/>
              <w:bottom w:w="135" w:type="dxa"/>
              <w:right w:w="360" w:type="dxa"/>
            </w:tcMar>
            <w:vAlign w:val="center"/>
            <w:hideMark/>
          </w:tcPr>
          <w:p w:rsidR="00F92017" w:rsidRDefault="00F92017">
            <w:pPr>
              <w:spacing w:line="270" w:lineRule="atLeast"/>
              <w:rPr>
                <w:rFonts w:ascii="Georgia" w:hAnsi="Georgia"/>
                <w:b/>
                <w:bCs/>
                <w:color w:val="000000"/>
                <w:sz w:val="18"/>
                <w:szCs w:val="18"/>
              </w:rPr>
            </w:pPr>
            <w:r>
              <w:rPr>
                <w:rFonts w:ascii="Georgia" w:hAnsi="Georgia"/>
                <w:b/>
                <w:bCs/>
                <w:color w:val="000000"/>
                <w:sz w:val="18"/>
                <w:szCs w:val="18"/>
              </w:rPr>
              <w:t>Bone classification</w:t>
            </w:r>
          </w:p>
        </w:tc>
        <w:tc>
          <w:tcPr>
            <w:tcW w:w="0" w:type="auto"/>
            <w:tcBorders>
              <w:top w:val="single" w:sz="6" w:space="0" w:color="DDDDDD"/>
              <w:left w:val="single" w:sz="6" w:space="0" w:color="DDDDDD"/>
              <w:bottom w:val="single" w:sz="6" w:space="0" w:color="DDDDDD"/>
              <w:right w:val="single" w:sz="6" w:space="0" w:color="DDDDDD"/>
            </w:tcBorders>
            <w:shd w:val="clear" w:color="auto" w:fill="E7E7E7"/>
            <w:tcMar>
              <w:top w:w="135" w:type="dxa"/>
              <w:left w:w="360" w:type="dxa"/>
              <w:bottom w:w="135" w:type="dxa"/>
              <w:right w:w="360" w:type="dxa"/>
            </w:tcMar>
            <w:vAlign w:val="center"/>
            <w:hideMark/>
          </w:tcPr>
          <w:p w:rsidR="00F92017" w:rsidRDefault="00F92017">
            <w:pPr>
              <w:spacing w:line="270" w:lineRule="atLeast"/>
              <w:rPr>
                <w:rFonts w:ascii="Georgia" w:hAnsi="Georgia"/>
                <w:b/>
                <w:bCs/>
                <w:color w:val="000000"/>
                <w:sz w:val="18"/>
                <w:szCs w:val="18"/>
              </w:rPr>
            </w:pPr>
            <w:r>
              <w:rPr>
                <w:rFonts w:ascii="Georgia" w:hAnsi="Georgia"/>
                <w:b/>
                <w:bCs/>
                <w:color w:val="000000"/>
                <w:sz w:val="18"/>
                <w:szCs w:val="18"/>
              </w:rPr>
              <w:t>Features</w:t>
            </w:r>
          </w:p>
        </w:tc>
        <w:tc>
          <w:tcPr>
            <w:tcW w:w="0" w:type="auto"/>
            <w:tcBorders>
              <w:top w:val="single" w:sz="6" w:space="0" w:color="DDDDDD"/>
              <w:left w:val="single" w:sz="6" w:space="0" w:color="DDDDDD"/>
              <w:bottom w:val="single" w:sz="6" w:space="0" w:color="DDDDDD"/>
              <w:right w:val="single" w:sz="6" w:space="0" w:color="DDDDDD"/>
            </w:tcBorders>
            <w:shd w:val="clear" w:color="auto" w:fill="E7E7E7"/>
            <w:tcMar>
              <w:top w:w="135" w:type="dxa"/>
              <w:left w:w="360" w:type="dxa"/>
              <w:bottom w:w="135" w:type="dxa"/>
              <w:right w:w="360" w:type="dxa"/>
            </w:tcMar>
            <w:vAlign w:val="center"/>
            <w:hideMark/>
          </w:tcPr>
          <w:p w:rsidR="00F92017" w:rsidRDefault="00F92017">
            <w:pPr>
              <w:spacing w:line="270" w:lineRule="atLeast"/>
              <w:rPr>
                <w:rFonts w:ascii="Georgia" w:hAnsi="Georgia"/>
                <w:b/>
                <w:bCs/>
                <w:color w:val="000000"/>
                <w:sz w:val="18"/>
                <w:szCs w:val="18"/>
              </w:rPr>
            </w:pPr>
            <w:r>
              <w:rPr>
                <w:rFonts w:ascii="Georgia" w:hAnsi="Georgia"/>
                <w:b/>
                <w:bCs/>
                <w:color w:val="000000"/>
                <w:sz w:val="18"/>
                <w:szCs w:val="18"/>
              </w:rPr>
              <w:t>Function(s)</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35" w:type="dxa"/>
              <w:left w:w="360" w:type="dxa"/>
              <w:bottom w:w="135" w:type="dxa"/>
              <w:right w:w="360" w:type="dxa"/>
            </w:tcMar>
            <w:vAlign w:val="center"/>
            <w:hideMark/>
          </w:tcPr>
          <w:p w:rsidR="00F92017" w:rsidRDefault="00F92017">
            <w:pPr>
              <w:spacing w:line="270" w:lineRule="atLeast"/>
              <w:rPr>
                <w:rFonts w:ascii="Georgia" w:hAnsi="Georgia"/>
                <w:b/>
                <w:bCs/>
                <w:color w:val="000000"/>
                <w:sz w:val="18"/>
                <w:szCs w:val="18"/>
              </w:rPr>
            </w:pPr>
            <w:r>
              <w:rPr>
                <w:rFonts w:ascii="Georgia" w:hAnsi="Georgia"/>
                <w:b/>
                <w:bCs/>
                <w:color w:val="000000"/>
                <w:sz w:val="18"/>
                <w:szCs w:val="18"/>
              </w:rPr>
              <w:t>Examples</w:t>
            </w:r>
          </w:p>
        </w:tc>
      </w:tr>
      <w:tr w:rsidR="00F92017" w:rsidTr="00F92017">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F92017" w:rsidRDefault="00F92017">
            <w:pPr>
              <w:rPr>
                <w:rFonts w:ascii="Georgia" w:hAnsi="Georgia"/>
                <w:color w:val="000000"/>
                <w:sz w:val="22"/>
                <w:szCs w:val="22"/>
              </w:rPr>
            </w:pPr>
            <w:r>
              <w:rPr>
                <w:rFonts w:ascii="Georgia" w:hAnsi="Georgia"/>
                <w:color w:val="000000"/>
                <w:sz w:val="22"/>
                <w:szCs w:val="22"/>
              </w:rPr>
              <w:t>Long</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F92017" w:rsidRDefault="00F92017">
            <w:pPr>
              <w:rPr>
                <w:rFonts w:ascii="Georgia" w:hAnsi="Georgia"/>
                <w:color w:val="000000"/>
                <w:sz w:val="22"/>
                <w:szCs w:val="22"/>
              </w:rPr>
            </w:pPr>
            <w:r>
              <w:rPr>
                <w:rFonts w:ascii="Georgia" w:hAnsi="Georgia"/>
                <w:color w:val="000000"/>
                <w:sz w:val="22"/>
                <w:szCs w:val="22"/>
              </w:rPr>
              <w:t>Cylinder-like shape, longer than it is wide</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F92017" w:rsidRDefault="00F92017">
            <w:pPr>
              <w:rPr>
                <w:rFonts w:ascii="Georgia" w:hAnsi="Georgia"/>
                <w:color w:val="000000"/>
                <w:sz w:val="22"/>
                <w:szCs w:val="22"/>
              </w:rPr>
            </w:pPr>
            <w:r>
              <w:rPr>
                <w:rFonts w:ascii="Georgia" w:hAnsi="Georgia"/>
                <w:color w:val="000000"/>
                <w:sz w:val="22"/>
                <w:szCs w:val="22"/>
              </w:rPr>
              <w:t>Movement, support</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F92017" w:rsidRDefault="00F92017">
            <w:pPr>
              <w:rPr>
                <w:rFonts w:ascii="Georgia" w:hAnsi="Georgia"/>
                <w:color w:val="000000"/>
                <w:sz w:val="22"/>
                <w:szCs w:val="22"/>
              </w:rPr>
            </w:pPr>
            <w:r>
              <w:rPr>
                <w:rFonts w:ascii="Georgia" w:hAnsi="Georgia"/>
                <w:color w:val="000000"/>
                <w:sz w:val="22"/>
                <w:szCs w:val="22"/>
              </w:rPr>
              <w:t xml:space="preserve">Femur, tibia, fibula, metatarsals, </w:t>
            </w:r>
            <w:proofErr w:type="spellStart"/>
            <w:r>
              <w:rPr>
                <w:rFonts w:ascii="Georgia" w:hAnsi="Georgia"/>
                <w:color w:val="000000"/>
                <w:sz w:val="22"/>
                <w:szCs w:val="22"/>
              </w:rPr>
              <w:t>humerus</w:t>
            </w:r>
            <w:proofErr w:type="spellEnd"/>
            <w:r>
              <w:rPr>
                <w:rFonts w:ascii="Georgia" w:hAnsi="Georgia"/>
                <w:color w:val="000000"/>
                <w:sz w:val="22"/>
                <w:szCs w:val="22"/>
              </w:rPr>
              <w:t>, ulna, radius, metacarpals, phalanges</w:t>
            </w:r>
          </w:p>
        </w:tc>
      </w:tr>
      <w:tr w:rsidR="00F92017" w:rsidTr="00F92017">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F92017" w:rsidRDefault="00F92017">
            <w:pPr>
              <w:rPr>
                <w:rFonts w:ascii="Georgia" w:hAnsi="Georgia"/>
                <w:color w:val="000000"/>
                <w:sz w:val="22"/>
                <w:szCs w:val="22"/>
              </w:rPr>
            </w:pPr>
            <w:r>
              <w:rPr>
                <w:rFonts w:ascii="Georgia" w:hAnsi="Georgia"/>
                <w:color w:val="000000"/>
                <w:sz w:val="22"/>
                <w:szCs w:val="22"/>
              </w:rPr>
              <w:t>Short</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F92017" w:rsidRDefault="00F92017">
            <w:pPr>
              <w:rPr>
                <w:rFonts w:ascii="Georgia" w:hAnsi="Georgia"/>
                <w:color w:val="000000"/>
                <w:sz w:val="22"/>
                <w:szCs w:val="22"/>
              </w:rPr>
            </w:pPr>
            <w:r>
              <w:rPr>
                <w:rFonts w:ascii="Georgia" w:hAnsi="Georgia"/>
                <w:color w:val="000000"/>
                <w:sz w:val="22"/>
                <w:szCs w:val="22"/>
              </w:rPr>
              <w:t>Cube-like shape, approximately equal in length, width, and thickness</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F92017" w:rsidRDefault="00F92017">
            <w:pPr>
              <w:rPr>
                <w:rFonts w:ascii="Georgia" w:hAnsi="Georgia"/>
                <w:color w:val="000000"/>
                <w:sz w:val="22"/>
                <w:szCs w:val="22"/>
              </w:rPr>
            </w:pPr>
            <w:r>
              <w:rPr>
                <w:rFonts w:ascii="Georgia" w:hAnsi="Georgia"/>
                <w:color w:val="000000"/>
                <w:sz w:val="22"/>
                <w:szCs w:val="22"/>
              </w:rPr>
              <w:t>Provide stability, support, while allowing for some motion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F92017" w:rsidRDefault="00F92017">
            <w:pPr>
              <w:rPr>
                <w:rFonts w:ascii="Georgia" w:hAnsi="Georgia"/>
                <w:color w:val="000000"/>
                <w:sz w:val="22"/>
                <w:szCs w:val="22"/>
              </w:rPr>
            </w:pPr>
            <w:r>
              <w:rPr>
                <w:rFonts w:ascii="Georgia" w:hAnsi="Georgia"/>
                <w:color w:val="000000"/>
                <w:sz w:val="22"/>
                <w:szCs w:val="22"/>
              </w:rPr>
              <w:t>Carpals, tarsals</w:t>
            </w:r>
          </w:p>
        </w:tc>
      </w:tr>
      <w:tr w:rsidR="00F92017" w:rsidTr="00F92017">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F92017" w:rsidRDefault="00F92017">
            <w:pPr>
              <w:rPr>
                <w:rFonts w:ascii="Georgia" w:hAnsi="Georgia"/>
                <w:color w:val="000000"/>
                <w:sz w:val="22"/>
                <w:szCs w:val="22"/>
              </w:rPr>
            </w:pPr>
            <w:r>
              <w:rPr>
                <w:rFonts w:ascii="Georgia" w:hAnsi="Georgia"/>
                <w:color w:val="000000"/>
                <w:sz w:val="22"/>
                <w:szCs w:val="22"/>
              </w:rPr>
              <w:t>Flat</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F92017" w:rsidRDefault="00F92017">
            <w:pPr>
              <w:rPr>
                <w:rFonts w:ascii="Georgia" w:hAnsi="Georgia"/>
                <w:color w:val="000000"/>
                <w:sz w:val="22"/>
                <w:szCs w:val="22"/>
              </w:rPr>
            </w:pPr>
            <w:r>
              <w:rPr>
                <w:rFonts w:ascii="Georgia" w:hAnsi="Georgia"/>
                <w:color w:val="000000"/>
                <w:sz w:val="22"/>
                <w:szCs w:val="22"/>
              </w:rPr>
              <w:t>Thin and curved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F92017" w:rsidRDefault="00F92017">
            <w:pPr>
              <w:rPr>
                <w:rFonts w:ascii="Georgia" w:hAnsi="Georgia"/>
                <w:color w:val="000000"/>
                <w:sz w:val="22"/>
                <w:szCs w:val="22"/>
              </w:rPr>
            </w:pPr>
            <w:r>
              <w:rPr>
                <w:rFonts w:ascii="Georgia" w:hAnsi="Georgia"/>
                <w:color w:val="000000"/>
                <w:sz w:val="22"/>
                <w:szCs w:val="22"/>
              </w:rPr>
              <w:t>Points of attachment for muscles; protectors of internal organs</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F92017" w:rsidRDefault="00F92017">
            <w:pPr>
              <w:rPr>
                <w:rFonts w:ascii="Georgia" w:hAnsi="Georgia"/>
                <w:color w:val="000000"/>
                <w:sz w:val="22"/>
                <w:szCs w:val="22"/>
              </w:rPr>
            </w:pPr>
            <w:r>
              <w:rPr>
                <w:rFonts w:ascii="Georgia" w:hAnsi="Georgia"/>
                <w:color w:val="000000"/>
                <w:sz w:val="22"/>
                <w:szCs w:val="22"/>
              </w:rPr>
              <w:t>Sternum, ribs, scapulae, cranial bones</w:t>
            </w:r>
          </w:p>
        </w:tc>
      </w:tr>
      <w:tr w:rsidR="00F92017" w:rsidTr="00F92017">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F92017" w:rsidRDefault="00F92017">
            <w:pPr>
              <w:rPr>
                <w:rFonts w:ascii="Georgia" w:hAnsi="Georgia"/>
                <w:color w:val="000000"/>
                <w:sz w:val="22"/>
                <w:szCs w:val="22"/>
              </w:rPr>
            </w:pPr>
            <w:r>
              <w:rPr>
                <w:rFonts w:ascii="Georgia" w:hAnsi="Georgia"/>
                <w:color w:val="000000"/>
                <w:sz w:val="22"/>
                <w:szCs w:val="22"/>
              </w:rPr>
              <w:t>Irregular</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F92017" w:rsidRDefault="00F92017">
            <w:pPr>
              <w:rPr>
                <w:rFonts w:ascii="Georgia" w:hAnsi="Georgia"/>
                <w:color w:val="000000"/>
                <w:sz w:val="22"/>
                <w:szCs w:val="22"/>
              </w:rPr>
            </w:pPr>
            <w:r>
              <w:rPr>
                <w:rFonts w:ascii="Georgia" w:hAnsi="Georgia"/>
                <w:color w:val="000000"/>
                <w:sz w:val="22"/>
                <w:szCs w:val="22"/>
              </w:rPr>
              <w:t>Complex shape</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F92017" w:rsidRDefault="00F92017">
            <w:pPr>
              <w:rPr>
                <w:rFonts w:ascii="Georgia" w:hAnsi="Georgia"/>
                <w:color w:val="000000"/>
                <w:sz w:val="22"/>
                <w:szCs w:val="22"/>
              </w:rPr>
            </w:pPr>
            <w:r>
              <w:rPr>
                <w:rFonts w:ascii="Georgia" w:hAnsi="Georgia"/>
                <w:color w:val="000000"/>
                <w:sz w:val="22"/>
                <w:szCs w:val="22"/>
              </w:rPr>
              <w:t>Protect internal organs, movement, support</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F92017" w:rsidRDefault="00F92017">
            <w:pPr>
              <w:rPr>
                <w:rFonts w:ascii="Georgia" w:hAnsi="Georgia"/>
                <w:color w:val="000000"/>
                <w:sz w:val="22"/>
                <w:szCs w:val="22"/>
              </w:rPr>
            </w:pPr>
            <w:r>
              <w:rPr>
                <w:rFonts w:ascii="Georgia" w:hAnsi="Georgia"/>
                <w:color w:val="000000"/>
                <w:sz w:val="22"/>
                <w:szCs w:val="22"/>
              </w:rPr>
              <w:t>Vertebrae, facial bones</w:t>
            </w:r>
          </w:p>
        </w:tc>
      </w:tr>
      <w:tr w:rsidR="00F92017" w:rsidTr="00F92017">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F92017" w:rsidRDefault="00F92017">
            <w:pPr>
              <w:rPr>
                <w:rFonts w:ascii="Georgia" w:hAnsi="Georgia"/>
                <w:color w:val="000000"/>
                <w:sz w:val="22"/>
                <w:szCs w:val="22"/>
              </w:rPr>
            </w:pPr>
            <w:r>
              <w:rPr>
                <w:rFonts w:ascii="Georgia" w:hAnsi="Georgia"/>
                <w:color w:val="000000"/>
                <w:sz w:val="22"/>
                <w:szCs w:val="22"/>
              </w:rPr>
              <w:t>Sesamoid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F92017" w:rsidRDefault="00F92017">
            <w:pPr>
              <w:rPr>
                <w:rFonts w:ascii="Georgia" w:hAnsi="Georgia"/>
                <w:color w:val="000000"/>
                <w:sz w:val="22"/>
                <w:szCs w:val="22"/>
              </w:rPr>
            </w:pPr>
            <w:r>
              <w:rPr>
                <w:rFonts w:ascii="Georgia" w:hAnsi="Georgia"/>
                <w:color w:val="000000"/>
                <w:sz w:val="22"/>
                <w:szCs w:val="22"/>
              </w:rPr>
              <w:t>Small and round; embedded in tendons</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F92017" w:rsidRDefault="00F92017">
            <w:pPr>
              <w:rPr>
                <w:rFonts w:ascii="Georgia" w:hAnsi="Georgia"/>
                <w:color w:val="000000"/>
                <w:sz w:val="22"/>
                <w:szCs w:val="22"/>
              </w:rPr>
            </w:pPr>
            <w:r>
              <w:rPr>
                <w:rFonts w:ascii="Georgia" w:hAnsi="Georgia"/>
                <w:color w:val="000000"/>
                <w:sz w:val="22"/>
                <w:szCs w:val="22"/>
              </w:rPr>
              <w:t>Protect tendons from excessive forces, allow effective muscle action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F92017" w:rsidRDefault="00F92017">
            <w:pPr>
              <w:rPr>
                <w:rFonts w:ascii="Georgia" w:hAnsi="Georgia"/>
                <w:color w:val="000000"/>
                <w:sz w:val="22"/>
                <w:szCs w:val="22"/>
              </w:rPr>
            </w:pPr>
            <w:r>
              <w:rPr>
                <w:rFonts w:ascii="Georgia" w:hAnsi="Georgia"/>
                <w:color w:val="000000"/>
                <w:sz w:val="22"/>
                <w:szCs w:val="22"/>
              </w:rPr>
              <w:t>Patellae</w:t>
            </w:r>
          </w:p>
        </w:tc>
      </w:tr>
    </w:tbl>
    <w:p w:rsidR="00F92017" w:rsidRDefault="00F92017">
      <w:pPr>
        <w:rPr>
          <w:rFonts w:asciiTheme="minorHAnsi" w:hAnsiTheme="minorHAnsi" w:cstheme="minorHAnsi"/>
          <w:sz w:val="64"/>
          <w:szCs w:val="64"/>
        </w:rPr>
      </w:pPr>
    </w:p>
    <w:p w:rsidR="00F92017" w:rsidRDefault="00F92017">
      <w:pPr>
        <w:rPr>
          <w:rFonts w:asciiTheme="minorHAnsi" w:hAnsiTheme="minorHAnsi" w:cstheme="minorHAnsi"/>
          <w:sz w:val="64"/>
          <w:szCs w:val="64"/>
        </w:rPr>
      </w:pPr>
    </w:p>
    <w:p w:rsidR="00F92017" w:rsidRDefault="00F92017">
      <w:pPr>
        <w:rPr>
          <w:rFonts w:asciiTheme="minorHAnsi" w:hAnsiTheme="minorHAnsi" w:cstheme="minorHAnsi"/>
          <w:sz w:val="64"/>
          <w:szCs w:val="64"/>
        </w:rPr>
      </w:pPr>
    </w:p>
    <w:p w:rsidR="00F92017" w:rsidRDefault="00F92017">
      <w:pPr>
        <w:rPr>
          <w:rFonts w:asciiTheme="minorHAnsi" w:hAnsiTheme="minorHAnsi" w:cstheme="minorHAnsi"/>
          <w:sz w:val="64"/>
          <w:szCs w:val="64"/>
        </w:rPr>
      </w:pPr>
    </w:p>
    <w:p w:rsidR="00F92017" w:rsidRDefault="00F92017">
      <w:pPr>
        <w:rPr>
          <w:rFonts w:asciiTheme="minorHAnsi" w:hAnsiTheme="minorHAnsi" w:cstheme="minorHAnsi"/>
          <w:sz w:val="64"/>
          <w:szCs w:val="64"/>
        </w:rPr>
      </w:pPr>
    </w:p>
    <w:p w:rsidR="00F92017" w:rsidRDefault="00F92017">
      <w:pPr>
        <w:rPr>
          <w:rFonts w:asciiTheme="minorHAnsi" w:hAnsiTheme="minorHAnsi" w:cstheme="minorHAnsi"/>
          <w:sz w:val="64"/>
          <w:szCs w:val="64"/>
        </w:rPr>
      </w:pPr>
    </w:p>
    <w:p w:rsidR="00F92017" w:rsidRDefault="00F92017">
      <w:pPr>
        <w:rPr>
          <w:rFonts w:asciiTheme="minorHAnsi" w:hAnsiTheme="minorHAnsi" w:cstheme="minorHAnsi"/>
          <w:sz w:val="64"/>
          <w:szCs w:val="64"/>
        </w:rPr>
      </w:pPr>
      <w:r>
        <w:rPr>
          <w:rFonts w:asciiTheme="minorHAnsi" w:hAnsiTheme="minorHAnsi" w:cstheme="minorHAnsi"/>
          <w:sz w:val="64"/>
          <w:szCs w:val="64"/>
        </w:rPr>
        <w:br w:type="page"/>
      </w:r>
    </w:p>
    <w:p w:rsidR="00F92017" w:rsidRDefault="00F92017">
      <w:pPr>
        <w:rPr>
          <w:rFonts w:asciiTheme="minorHAnsi" w:hAnsiTheme="minorHAnsi" w:cstheme="minorHAnsi"/>
          <w:sz w:val="64"/>
          <w:szCs w:val="64"/>
        </w:rPr>
      </w:pPr>
      <w:r>
        <w:rPr>
          <w:rFonts w:asciiTheme="minorHAnsi" w:hAnsiTheme="minorHAnsi" w:cstheme="minorHAnsi"/>
          <w:sz w:val="64"/>
          <w:szCs w:val="64"/>
        </w:rPr>
        <w:lastRenderedPageBreak/>
        <w:t>Bone Structure</w:t>
      </w:r>
    </w:p>
    <w:p w:rsidR="00F92017" w:rsidRDefault="00F92017">
      <w:pPr>
        <w:rPr>
          <w:rFonts w:asciiTheme="minorHAnsi" w:hAnsiTheme="minorHAnsi" w:cstheme="minorHAnsi"/>
          <w:sz w:val="64"/>
          <w:szCs w:val="64"/>
        </w:rPr>
      </w:pPr>
      <w:r>
        <w:rPr>
          <w:rFonts w:asciiTheme="minorHAnsi" w:hAnsiTheme="minorHAnsi" w:cstheme="minorHAnsi"/>
          <w:sz w:val="64"/>
          <w:szCs w:val="64"/>
        </w:rPr>
        <w:br w:type="page"/>
      </w:r>
    </w:p>
    <w:p w:rsidR="00F92017" w:rsidRDefault="00F92017">
      <w:pPr>
        <w:rPr>
          <w:rFonts w:asciiTheme="minorHAnsi" w:hAnsiTheme="minorHAnsi" w:cstheme="minorHAnsi"/>
          <w:sz w:val="64"/>
          <w:szCs w:val="64"/>
        </w:rPr>
      </w:pPr>
    </w:p>
    <w:p w:rsidR="00F92017" w:rsidRDefault="00F92017">
      <w:pPr>
        <w:rPr>
          <w:rFonts w:asciiTheme="minorHAnsi" w:hAnsiTheme="minorHAnsi" w:cstheme="minorHAnsi"/>
          <w:sz w:val="64"/>
          <w:szCs w:val="64"/>
        </w:rPr>
      </w:pPr>
      <w:r>
        <w:rPr>
          <w:noProof/>
        </w:rPr>
        <w:drawing>
          <wp:inline distT="0" distB="0" distL="0" distR="0">
            <wp:extent cx="5486400" cy="2743200"/>
            <wp:effectExtent l="0" t="0" r="0" b="0"/>
            <wp:docPr id="19" name="Picture 19" descr="The top of this illustration shows an anterior view of the proximal end of the femur. The top image has two zoom in boxes. The left box is situated on the border between the diaphysis and the metaphysis. Its callout magnifies the periosteum on the right side of the femur. The view shows that the periosteum contains an outer fibrous layer composed of yellow fibers. The inner layer of the periosteum is called the cellular layer, which is composed of irregularly shaped cells. The cellular layer gradually shrinks in width as it transitions from the metaphysis to the diaphysis. A small blood vessel runs through both layers and enters the bone. The right zoom in box magnifies the endosteum on the left side of the bone. The box is situated just inferior to the border between the diaphysis and the metaphysic. It calls out the inner edge of the compact bone layer. The magnified view shows concentric circles of dark colored bone matrix. Between the circles are small cavities containing orange, diamond-shaped cells labeled osteocytes. The left edge of the bone matrix is lined with a single layer of flattened cells called the endosteum. There is a large cell, labeled an osteoclast, between two of the endosteum cells. The osteoclast is cutting a depression into the bony matrix under the endosteum. At another part of the endosteum, three smaller osteoblasts are secreting a blue substance that builds up the outermost layer of the bony matr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top of this illustration shows an anterior view of the proximal end of the femur. The top image has two zoom in boxes. The left box is situated on the border between the diaphysis and the metaphysis. Its callout magnifies the periosteum on the right side of the femur. The view shows that the periosteum contains an outer fibrous layer composed of yellow fibers. The inner layer of the periosteum is called the cellular layer, which is composed of irregularly shaped cells. The cellular layer gradually shrinks in width as it transitions from the metaphysis to the diaphysis. A small blood vessel runs through both layers and enters the bone. The right zoom in box magnifies the endosteum on the left side of the bone. The box is situated just inferior to the border between the diaphysis and the metaphysic. It calls out the inner edge of the compact bone layer. The magnified view shows concentric circles of dark colored bone matrix. Between the circles are small cavities containing orange, diamond-shaped cells labeled osteocytes. The left edge of the bone matrix is lined with a single layer of flattened cells called the endosteum. There is a large cell, labeled an osteoclast, between two of the endosteum cells. The osteoclast is cutting a depression into the bony matrix under the endosteum. At another part of the endosteum, three smaller osteoblasts are secreting a blue substance that builds up the outermost layer of the bony matrix."/>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2743200"/>
                    </a:xfrm>
                    <a:prstGeom prst="rect">
                      <a:avLst/>
                    </a:prstGeom>
                    <a:noFill/>
                    <a:ln>
                      <a:noFill/>
                    </a:ln>
                  </pic:spPr>
                </pic:pic>
              </a:graphicData>
            </a:graphic>
          </wp:inline>
        </w:drawing>
      </w:r>
    </w:p>
    <w:p w:rsidR="00F92017" w:rsidRDefault="00F92017">
      <w:pPr>
        <w:rPr>
          <w:rFonts w:asciiTheme="minorHAnsi" w:hAnsiTheme="minorHAnsi" w:cstheme="minorHAnsi"/>
          <w:sz w:val="64"/>
          <w:szCs w:val="64"/>
        </w:rPr>
      </w:pPr>
    </w:p>
    <w:p w:rsidR="00F92017" w:rsidRDefault="00F92017">
      <w:pPr>
        <w:rPr>
          <w:rFonts w:ascii="Georgia" w:hAnsi="Georgia"/>
          <w:color w:val="000000"/>
          <w:sz w:val="19"/>
          <w:szCs w:val="19"/>
          <w:shd w:val="clear" w:color="auto" w:fill="FFFFFF"/>
        </w:rPr>
      </w:pPr>
      <w:r>
        <w:rPr>
          <w:rStyle w:val="Strong"/>
          <w:rFonts w:ascii="Georgia" w:hAnsi="Georgia"/>
          <w:color w:val="000000"/>
          <w:sz w:val="19"/>
          <w:szCs w:val="19"/>
          <w:bdr w:val="none" w:sz="0" w:space="0" w:color="auto" w:frame="1"/>
          <w:shd w:val="clear" w:color="auto" w:fill="FFFFFF"/>
        </w:rPr>
        <w:t>Figure 6.32 – Periosteum and Endosteum:</w:t>
      </w:r>
      <w:r>
        <w:rPr>
          <w:rFonts w:ascii="Georgia" w:hAnsi="Georgia"/>
          <w:color w:val="000000"/>
          <w:sz w:val="19"/>
          <w:szCs w:val="19"/>
          <w:shd w:val="clear" w:color="auto" w:fill="FFFFFF"/>
        </w:rPr>
        <w:t> The periosteum forms the outer surface of bone, and the endosteum lines the medullary cavity.</w:t>
      </w:r>
    </w:p>
    <w:p w:rsidR="00F92017" w:rsidRDefault="00F92017">
      <w:pPr>
        <w:rPr>
          <w:rFonts w:ascii="Georgia" w:hAnsi="Georgia"/>
          <w:color w:val="000000"/>
          <w:sz w:val="19"/>
          <w:szCs w:val="19"/>
          <w:shd w:val="clear" w:color="auto" w:fill="FFFFFF"/>
        </w:rPr>
      </w:pPr>
    </w:p>
    <w:p w:rsidR="00F92017" w:rsidRDefault="00F92017">
      <w:pPr>
        <w:rPr>
          <w:rFonts w:ascii="Georgia" w:hAnsi="Georgia"/>
          <w:color w:val="000000"/>
          <w:sz w:val="19"/>
          <w:szCs w:val="19"/>
          <w:shd w:val="clear" w:color="auto" w:fill="FFFFFF"/>
        </w:rPr>
      </w:pPr>
    </w:p>
    <w:p w:rsidR="00F92017" w:rsidRDefault="00F92017">
      <w:pPr>
        <w:rPr>
          <w:rFonts w:asciiTheme="minorHAnsi" w:hAnsiTheme="minorHAnsi" w:cstheme="minorHAnsi"/>
          <w:sz w:val="64"/>
          <w:szCs w:val="64"/>
        </w:rPr>
      </w:pPr>
      <w:r>
        <w:rPr>
          <w:noProof/>
        </w:rPr>
        <w:drawing>
          <wp:inline distT="0" distB="0" distL="0" distR="0">
            <wp:extent cx="5123416" cy="2591846"/>
            <wp:effectExtent l="0" t="0" r="1270" b="0"/>
            <wp:docPr id="20" name="Picture 20" descr="This illustration shows a cross section of a cranial bone, constructed somewhat like a sandwich. The topmost and bottommost layers are the thin, translucent, periosteum. The upper and lower periosteum cover an upper and lower layer of compact bone, respectively. The compact bone is solid, with each layer occupying about one tenth of the thickness of the cranial bone. The majority of the cross section is occupied by the spongy bone, or diploe, sandwiched between the upper and lower compact bone. The spongy bone contains many crisscrossing threads of bone. Dark air spaces occur between the threads, giving the bone a porous appearance, much like that of a sponge or Swiss chee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is illustration shows a cross section of a cranial bone, constructed somewhat like a sandwich. The topmost and bottommost layers are the thin, translucent, periosteum. The upper and lower periosteum cover an upper and lower layer of compact bone, respectively. The compact bone is solid, with each layer occupying about one tenth of the thickness of the cranial bone. The majority of the cross section is occupied by the spongy bone, or diploe, sandwiched between the upper and lower compact bone. The spongy bone contains many crisscrossing threads of bone. Dark air spaces occur between the threads, giving the bone a porous appearance, much like that of a sponge or Swiss chees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33748" cy="2597073"/>
                    </a:xfrm>
                    <a:prstGeom prst="rect">
                      <a:avLst/>
                    </a:prstGeom>
                    <a:noFill/>
                    <a:ln>
                      <a:noFill/>
                    </a:ln>
                  </pic:spPr>
                </pic:pic>
              </a:graphicData>
            </a:graphic>
          </wp:inline>
        </w:drawing>
      </w:r>
    </w:p>
    <w:p w:rsidR="00F92017" w:rsidRDefault="00F92017">
      <w:pPr>
        <w:rPr>
          <w:rStyle w:val="Strong"/>
          <w:rFonts w:ascii="Georgia" w:hAnsi="Georgia"/>
          <w:color w:val="000000"/>
          <w:sz w:val="19"/>
          <w:szCs w:val="19"/>
          <w:bdr w:val="none" w:sz="0" w:space="0" w:color="auto" w:frame="1"/>
          <w:shd w:val="clear" w:color="auto" w:fill="FFFFFF"/>
        </w:rPr>
      </w:pPr>
    </w:p>
    <w:p w:rsidR="00F92017" w:rsidRDefault="00F92017">
      <w:pPr>
        <w:rPr>
          <w:rFonts w:asciiTheme="minorHAnsi" w:hAnsiTheme="minorHAnsi" w:cstheme="minorHAnsi"/>
          <w:sz w:val="64"/>
          <w:szCs w:val="64"/>
        </w:rPr>
      </w:pPr>
      <w:r>
        <w:rPr>
          <w:rStyle w:val="Strong"/>
          <w:rFonts w:ascii="Georgia" w:hAnsi="Georgia"/>
          <w:color w:val="000000"/>
          <w:sz w:val="19"/>
          <w:szCs w:val="19"/>
          <w:bdr w:val="none" w:sz="0" w:space="0" w:color="auto" w:frame="1"/>
          <w:shd w:val="clear" w:color="auto" w:fill="FFFFFF"/>
        </w:rPr>
        <w:t>Figure 6.33 – Anatomy of a Flat Bone:</w:t>
      </w:r>
      <w:r>
        <w:rPr>
          <w:rFonts w:ascii="Georgia" w:hAnsi="Georgia"/>
          <w:color w:val="000000"/>
          <w:sz w:val="19"/>
          <w:szCs w:val="19"/>
          <w:shd w:val="clear" w:color="auto" w:fill="FFFFFF"/>
        </w:rPr>
        <w:t> This cross-section of a flat bone shows the spongy bone (</w:t>
      </w:r>
      <w:proofErr w:type="spellStart"/>
      <w:r>
        <w:rPr>
          <w:rFonts w:ascii="Georgia" w:hAnsi="Georgia"/>
          <w:color w:val="000000"/>
          <w:sz w:val="19"/>
          <w:szCs w:val="19"/>
          <w:shd w:val="clear" w:color="auto" w:fill="FFFFFF"/>
        </w:rPr>
        <w:t>diploë</w:t>
      </w:r>
      <w:proofErr w:type="spellEnd"/>
      <w:r>
        <w:rPr>
          <w:rFonts w:ascii="Georgia" w:hAnsi="Georgia"/>
          <w:color w:val="000000"/>
          <w:sz w:val="19"/>
          <w:szCs w:val="19"/>
          <w:shd w:val="clear" w:color="auto" w:fill="FFFFFF"/>
        </w:rPr>
        <w:t>) covered on either side by a layer of compact bone.</w:t>
      </w:r>
      <w:r>
        <w:rPr>
          <w:rFonts w:asciiTheme="minorHAnsi" w:hAnsiTheme="minorHAnsi" w:cstheme="minorHAnsi"/>
          <w:sz w:val="64"/>
          <w:szCs w:val="64"/>
        </w:rPr>
        <w:br w:type="page"/>
      </w:r>
    </w:p>
    <w:p w:rsidR="006E30D7" w:rsidRDefault="00F92017" w:rsidP="006E30D7">
      <w:pPr>
        <w:rPr>
          <w:rFonts w:asciiTheme="minorHAnsi" w:hAnsiTheme="minorHAnsi" w:cstheme="minorHAnsi"/>
          <w:sz w:val="64"/>
          <w:szCs w:val="64"/>
        </w:rPr>
      </w:pPr>
      <w:r>
        <w:rPr>
          <w:rFonts w:asciiTheme="minorHAnsi" w:hAnsiTheme="minorHAnsi" w:cstheme="minorHAnsi"/>
          <w:sz w:val="64"/>
          <w:szCs w:val="64"/>
        </w:rPr>
        <w:lastRenderedPageBreak/>
        <w:t>Structure of Long Bone</w:t>
      </w:r>
    </w:p>
    <w:p w:rsidR="006E30D7" w:rsidRDefault="006E30D7" w:rsidP="006E30D7">
      <w:pPr>
        <w:rPr>
          <w:rFonts w:asciiTheme="minorHAnsi" w:hAnsiTheme="minorHAnsi" w:cstheme="minorHAnsi"/>
          <w:sz w:val="64"/>
          <w:szCs w:val="64"/>
        </w:rPr>
      </w:pPr>
    </w:p>
    <w:p w:rsidR="006E30D7" w:rsidRDefault="006E30D7" w:rsidP="006E30D7">
      <w:pPr>
        <w:rPr>
          <w:rFonts w:asciiTheme="minorHAnsi" w:hAnsiTheme="minorHAnsi" w:cstheme="minorHAnsi"/>
          <w:sz w:val="64"/>
          <w:szCs w:val="64"/>
        </w:rPr>
      </w:pPr>
      <w:r>
        <w:rPr>
          <w:rFonts w:asciiTheme="minorHAnsi" w:hAnsiTheme="minorHAnsi" w:cstheme="minorHAnsi"/>
          <w:sz w:val="64"/>
          <w:szCs w:val="64"/>
        </w:rPr>
        <w:br w:type="page"/>
      </w:r>
    </w:p>
    <w:p w:rsidR="00FC71D1" w:rsidRDefault="00F92017" w:rsidP="006E30D7">
      <w:pPr>
        <w:rPr>
          <w:rFonts w:asciiTheme="minorHAnsi" w:hAnsiTheme="minorHAnsi" w:cstheme="minorHAnsi"/>
          <w:sz w:val="64"/>
          <w:szCs w:val="64"/>
        </w:rPr>
      </w:pPr>
      <w:r>
        <w:rPr>
          <w:noProof/>
        </w:rPr>
        <w:lastRenderedPageBreak/>
        <w:drawing>
          <wp:inline distT="0" distB="0" distL="0" distR="0">
            <wp:extent cx="4248150" cy="7175378"/>
            <wp:effectExtent l="0" t="0" r="0" b="6985"/>
            <wp:docPr id="13" name="Picture 13" descr="http://library.open.oregonstate.edu/aandp/wp-content/uploads/sites/9/2018/10/603_Anatomy_of_a_Long_Bone-606x1024-e15414511123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library.open.oregonstate.edu/aandp/wp-content/uploads/sites/9/2018/10/603_Anatomy_of_a_Long_Bone-606x1024-e154145111236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52523" cy="7182764"/>
                    </a:xfrm>
                    <a:prstGeom prst="rect">
                      <a:avLst/>
                    </a:prstGeom>
                    <a:noFill/>
                    <a:ln>
                      <a:noFill/>
                    </a:ln>
                  </pic:spPr>
                </pic:pic>
              </a:graphicData>
            </a:graphic>
          </wp:inline>
        </w:drawing>
      </w:r>
    </w:p>
    <w:p w:rsidR="008D37EE" w:rsidRDefault="00F92017">
      <w:pPr>
        <w:rPr>
          <w:rFonts w:asciiTheme="minorHAnsi" w:hAnsiTheme="minorHAnsi" w:cstheme="minorHAnsi"/>
          <w:sz w:val="64"/>
          <w:szCs w:val="64"/>
        </w:rPr>
      </w:pPr>
      <w:r>
        <w:rPr>
          <w:rStyle w:val="Strong"/>
          <w:rFonts w:ascii="Georgia" w:hAnsi="Georgia"/>
          <w:color w:val="000000"/>
          <w:sz w:val="19"/>
          <w:szCs w:val="19"/>
          <w:bdr w:val="none" w:sz="0" w:space="0" w:color="auto" w:frame="1"/>
          <w:shd w:val="clear" w:color="auto" w:fill="FFFFFF"/>
        </w:rPr>
        <w:t>Figure 6.31 – Anatomy of a Long Bone:</w:t>
      </w:r>
      <w:r>
        <w:rPr>
          <w:rFonts w:ascii="Georgia" w:hAnsi="Georgia"/>
          <w:color w:val="000000"/>
          <w:sz w:val="19"/>
          <w:szCs w:val="19"/>
          <w:shd w:val="clear" w:color="auto" w:fill="FFFFFF"/>
        </w:rPr>
        <w:t> A typical long bone showing gross anatomical features.</w:t>
      </w:r>
      <w:r w:rsidR="008D37EE">
        <w:rPr>
          <w:rFonts w:asciiTheme="minorHAnsi" w:hAnsiTheme="minorHAnsi" w:cstheme="minorHAnsi"/>
          <w:sz w:val="64"/>
          <w:szCs w:val="64"/>
        </w:rPr>
        <w:br w:type="page"/>
      </w:r>
    </w:p>
    <w:p w:rsidR="008D37EE" w:rsidRDefault="00F92017">
      <w:pPr>
        <w:rPr>
          <w:rFonts w:asciiTheme="minorHAnsi" w:hAnsiTheme="minorHAnsi" w:cstheme="minorHAnsi"/>
          <w:sz w:val="64"/>
          <w:szCs w:val="64"/>
        </w:rPr>
      </w:pPr>
      <w:r>
        <w:rPr>
          <w:rFonts w:asciiTheme="minorHAnsi" w:hAnsiTheme="minorHAnsi" w:cstheme="minorHAnsi"/>
          <w:sz w:val="64"/>
          <w:szCs w:val="64"/>
        </w:rPr>
        <w:lastRenderedPageBreak/>
        <w:t>Bone Cells</w:t>
      </w:r>
    </w:p>
    <w:p w:rsidR="00F92017" w:rsidRDefault="00F92017">
      <w:pPr>
        <w:rPr>
          <w:rFonts w:asciiTheme="minorHAnsi" w:hAnsiTheme="minorHAnsi" w:cstheme="minorHAnsi"/>
          <w:sz w:val="64"/>
          <w:szCs w:val="64"/>
        </w:rPr>
      </w:pPr>
    </w:p>
    <w:p w:rsidR="00F92017" w:rsidRDefault="00F92017">
      <w:pPr>
        <w:rPr>
          <w:rFonts w:asciiTheme="minorHAnsi" w:hAnsiTheme="minorHAnsi" w:cstheme="minorHAnsi"/>
          <w:sz w:val="64"/>
          <w:szCs w:val="64"/>
        </w:rPr>
      </w:pPr>
    </w:p>
    <w:p w:rsidR="00F92017" w:rsidRDefault="00F92017">
      <w:pPr>
        <w:rPr>
          <w:rFonts w:asciiTheme="minorHAnsi" w:hAnsiTheme="minorHAnsi" w:cstheme="minorHAnsi"/>
          <w:sz w:val="64"/>
          <w:szCs w:val="64"/>
        </w:rPr>
      </w:pPr>
    </w:p>
    <w:p w:rsidR="00F92017" w:rsidRDefault="00F92017">
      <w:pPr>
        <w:rPr>
          <w:rFonts w:asciiTheme="minorHAnsi" w:hAnsiTheme="minorHAnsi" w:cstheme="minorHAnsi"/>
          <w:sz w:val="64"/>
          <w:szCs w:val="64"/>
        </w:rPr>
      </w:pPr>
      <w:r>
        <w:rPr>
          <w:noProof/>
        </w:rPr>
        <w:drawing>
          <wp:inline distT="0" distB="0" distL="0" distR="0">
            <wp:extent cx="5486400" cy="3856616"/>
            <wp:effectExtent l="0" t="0" r="0" b="0"/>
            <wp:docPr id="21" name="Picture 21" descr="http://library.open.oregonstate.edu/aandp/wp-content/uploads/sites/9/2018/10/604_Bone_cells-e15414510905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library.open.oregonstate.edu/aandp/wp-content/uploads/sites/9/2018/10/604_Bone_cells-e154145109057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3856616"/>
                    </a:xfrm>
                    <a:prstGeom prst="rect">
                      <a:avLst/>
                    </a:prstGeom>
                    <a:noFill/>
                    <a:ln>
                      <a:noFill/>
                    </a:ln>
                  </pic:spPr>
                </pic:pic>
              </a:graphicData>
            </a:graphic>
          </wp:inline>
        </w:drawing>
      </w:r>
    </w:p>
    <w:p w:rsidR="00F92017" w:rsidRDefault="00F92017">
      <w:pPr>
        <w:rPr>
          <w:rFonts w:asciiTheme="minorHAnsi" w:hAnsiTheme="minorHAnsi" w:cstheme="minorHAnsi"/>
          <w:sz w:val="64"/>
          <w:szCs w:val="64"/>
        </w:rPr>
      </w:pPr>
    </w:p>
    <w:p w:rsidR="00F92017" w:rsidRDefault="00F92017">
      <w:pPr>
        <w:rPr>
          <w:rFonts w:asciiTheme="minorHAnsi" w:hAnsiTheme="minorHAnsi" w:cstheme="minorHAnsi"/>
          <w:sz w:val="64"/>
          <w:szCs w:val="64"/>
        </w:rPr>
      </w:pPr>
      <w:r>
        <w:rPr>
          <w:rStyle w:val="Strong"/>
          <w:rFonts w:ascii="Georgia" w:hAnsi="Georgia"/>
          <w:color w:val="000000"/>
          <w:sz w:val="19"/>
          <w:szCs w:val="19"/>
          <w:bdr w:val="none" w:sz="0" w:space="0" w:color="auto" w:frame="1"/>
          <w:shd w:val="clear" w:color="auto" w:fill="FFFFFF"/>
        </w:rPr>
        <w:t>Figure 6.35 –  Bone Cells:</w:t>
      </w:r>
      <w:r>
        <w:rPr>
          <w:rFonts w:ascii="Georgia" w:hAnsi="Georgia"/>
          <w:color w:val="000000"/>
          <w:sz w:val="19"/>
          <w:szCs w:val="19"/>
          <w:shd w:val="clear" w:color="auto" w:fill="FFFFFF"/>
        </w:rPr>
        <w:t> Four types of cells are found within bone tissue. Osteogenic cells are undifferentiated and develop into osteoblasts. Osteoblasts deposit bone matrix. When osteoblasts get trapped within the calcified matrix, they become osteocytes. Osteoclasts develop from a different cell lineage and act to resorb bone.</w:t>
      </w:r>
    </w:p>
    <w:p w:rsidR="008D37EE" w:rsidRDefault="008D37EE">
      <w:pPr>
        <w:rPr>
          <w:rFonts w:asciiTheme="minorHAnsi" w:hAnsiTheme="minorHAnsi" w:cstheme="minorHAnsi"/>
          <w:sz w:val="64"/>
          <w:szCs w:val="64"/>
        </w:rPr>
      </w:pPr>
    </w:p>
    <w:p w:rsidR="000576DC" w:rsidRDefault="000576DC">
      <w:pPr>
        <w:rPr>
          <w:rFonts w:asciiTheme="minorHAnsi" w:hAnsiTheme="minorHAnsi" w:cstheme="minorHAnsi"/>
          <w:sz w:val="64"/>
          <w:szCs w:val="64"/>
        </w:rPr>
      </w:pPr>
      <w:r>
        <w:rPr>
          <w:rFonts w:asciiTheme="minorHAnsi" w:hAnsiTheme="minorHAnsi" w:cstheme="minorHAnsi"/>
          <w:sz w:val="64"/>
          <w:szCs w:val="64"/>
        </w:rPr>
        <w:br w:type="page"/>
      </w:r>
    </w:p>
    <w:p w:rsidR="008D37EE" w:rsidRDefault="00F92017">
      <w:pPr>
        <w:rPr>
          <w:rFonts w:asciiTheme="minorHAnsi" w:hAnsiTheme="minorHAnsi" w:cstheme="minorHAnsi"/>
          <w:sz w:val="64"/>
          <w:szCs w:val="64"/>
        </w:rPr>
      </w:pPr>
      <w:r>
        <w:rPr>
          <w:rFonts w:asciiTheme="minorHAnsi" w:hAnsiTheme="minorHAnsi" w:cstheme="minorHAnsi"/>
          <w:sz w:val="64"/>
          <w:szCs w:val="64"/>
        </w:rPr>
        <w:lastRenderedPageBreak/>
        <w:t>Compact and Spongy Bone</w:t>
      </w:r>
    </w:p>
    <w:p w:rsidR="00F92017" w:rsidRDefault="00F92017">
      <w:pPr>
        <w:rPr>
          <w:rFonts w:asciiTheme="minorHAnsi" w:hAnsiTheme="minorHAnsi" w:cstheme="minorHAnsi"/>
          <w:sz w:val="64"/>
          <w:szCs w:val="64"/>
        </w:rPr>
      </w:pPr>
      <w:r>
        <w:rPr>
          <w:rFonts w:asciiTheme="minorHAnsi" w:hAnsiTheme="minorHAnsi" w:cstheme="minorHAnsi"/>
          <w:sz w:val="64"/>
          <w:szCs w:val="64"/>
        </w:rPr>
        <w:br w:type="page"/>
      </w:r>
    </w:p>
    <w:p w:rsidR="00F92017" w:rsidRDefault="00F92017">
      <w:pPr>
        <w:rPr>
          <w:rFonts w:ascii="Georgia" w:hAnsi="Georgia"/>
          <w:color w:val="000000"/>
          <w:sz w:val="19"/>
          <w:szCs w:val="19"/>
          <w:shd w:val="clear" w:color="auto" w:fill="FFFFFF"/>
        </w:rPr>
      </w:pPr>
      <w:r>
        <w:rPr>
          <w:noProof/>
        </w:rPr>
        <w:lastRenderedPageBreak/>
        <w:drawing>
          <wp:inline distT="0" distB="0" distL="0" distR="0">
            <wp:extent cx="5486400" cy="6454588"/>
            <wp:effectExtent l="0" t="0" r="0" b="3810"/>
            <wp:docPr id="32" name="Picture 32" descr="http://library.open.oregonstate.edu/aandp/wp-content/uploads/sites/9/2018/10/624_Diagram_of_Compact_Bone-new-870x1024-e1541450872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library.open.oregonstate.edu/aandp/wp-content/uploads/sites/9/2018/10/624_Diagram_of_Compact_Bone-new-870x1024-e154145087231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6454588"/>
                    </a:xfrm>
                    <a:prstGeom prst="rect">
                      <a:avLst/>
                    </a:prstGeom>
                    <a:noFill/>
                    <a:ln>
                      <a:noFill/>
                    </a:ln>
                  </pic:spPr>
                </pic:pic>
              </a:graphicData>
            </a:graphic>
          </wp:inline>
        </w:drawing>
      </w:r>
      <w:r>
        <w:rPr>
          <w:rStyle w:val="Strong"/>
          <w:rFonts w:ascii="Georgia" w:hAnsi="Georgia"/>
          <w:color w:val="000000"/>
          <w:sz w:val="19"/>
          <w:szCs w:val="19"/>
          <w:bdr w:val="none" w:sz="0" w:space="0" w:color="auto" w:frame="1"/>
          <w:shd w:val="clear" w:color="auto" w:fill="FFFFFF"/>
        </w:rPr>
        <w:t>Figure 6.36 – Diagram of Compact Bone:</w:t>
      </w:r>
      <w:r>
        <w:rPr>
          <w:rFonts w:ascii="Georgia" w:hAnsi="Georgia"/>
          <w:color w:val="000000"/>
          <w:sz w:val="19"/>
          <w:szCs w:val="19"/>
          <w:shd w:val="clear" w:color="auto" w:fill="FFFFFF"/>
        </w:rPr>
        <w:t> (a) This cross-sectional view of compact bone shows several osteons, the basic structural unit of compact bone. (b) In this micrograph of the osteon, you can see the concentric lamellae around the central canals. LM × 40. (Micrograph provided by the Regents of University of Michigan Medical School © 2012)</w:t>
      </w:r>
    </w:p>
    <w:p w:rsidR="00F92017" w:rsidRDefault="00F92017">
      <w:pPr>
        <w:rPr>
          <w:rFonts w:ascii="Georgia" w:hAnsi="Georgia"/>
          <w:color w:val="000000"/>
          <w:sz w:val="19"/>
          <w:szCs w:val="19"/>
          <w:shd w:val="clear" w:color="auto" w:fill="FFFFFF"/>
        </w:rPr>
      </w:pPr>
    </w:p>
    <w:p w:rsidR="00F92017" w:rsidRDefault="00F92017">
      <w:pPr>
        <w:rPr>
          <w:rFonts w:ascii="Georgia" w:hAnsi="Georgia"/>
          <w:color w:val="000000"/>
          <w:sz w:val="19"/>
          <w:szCs w:val="19"/>
          <w:shd w:val="clear" w:color="auto" w:fill="FFFFFF"/>
        </w:rPr>
      </w:pPr>
    </w:p>
    <w:p w:rsidR="00F92017" w:rsidRDefault="00F92017">
      <w:pPr>
        <w:rPr>
          <w:rFonts w:ascii="Georgia" w:hAnsi="Georgia"/>
          <w:color w:val="000000"/>
          <w:sz w:val="19"/>
          <w:szCs w:val="19"/>
          <w:shd w:val="clear" w:color="auto" w:fill="FFFFFF"/>
        </w:rPr>
      </w:pPr>
    </w:p>
    <w:p w:rsidR="00F92017" w:rsidRDefault="00F92017">
      <w:pPr>
        <w:rPr>
          <w:rFonts w:ascii="Georgia" w:hAnsi="Georgia"/>
          <w:color w:val="000000"/>
          <w:sz w:val="19"/>
          <w:szCs w:val="19"/>
          <w:shd w:val="clear" w:color="auto" w:fill="FFFFFF"/>
        </w:rPr>
      </w:pPr>
    </w:p>
    <w:p w:rsidR="00F92017" w:rsidRDefault="00F92017">
      <w:pPr>
        <w:rPr>
          <w:rFonts w:ascii="Georgia" w:hAnsi="Georgia"/>
          <w:color w:val="000000"/>
          <w:sz w:val="19"/>
          <w:szCs w:val="19"/>
          <w:shd w:val="clear" w:color="auto" w:fill="FFFFFF"/>
        </w:rPr>
      </w:pPr>
    </w:p>
    <w:p w:rsidR="00F92017" w:rsidRDefault="00F92017">
      <w:pPr>
        <w:rPr>
          <w:rFonts w:ascii="Georgia" w:hAnsi="Georgia"/>
          <w:color w:val="000000"/>
          <w:sz w:val="19"/>
          <w:szCs w:val="19"/>
          <w:shd w:val="clear" w:color="auto" w:fill="FFFFFF"/>
        </w:rPr>
      </w:pPr>
    </w:p>
    <w:p w:rsidR="00F92017" w:rsidRDefault="00F92017">
      <w:pPr>
        <w:rPr>
          <w:rFonts w:ascii="Georgia" w:hAnsi="Georgia"/>
          <w:color w:val="000000"/>
          <w:sz w:val="19"/>
          <w:szCs w:val="19"/>
          <w:shd w:val="clear" w:color="auto" w:fill="FFFFFF"/>
        </w:rPr>
      </w:pPr>
    </w:p>
    <w:p w:rsidR="00F92017" w:rsidRDefault="00F92017">
      <w:pPr>
        <w:rPr>
          <w:rFonts w:ascii="Georgia" w:hAnsi="Georgia"/>
          <w:color w:val="000000"/>
          <w:sz w:val="19"/>
          <w:szCs w:val="19"/>
          <w:shd w:val="clear" w:color="auto" w:fill="FFFFFF"/>
        </w:rPr>
      </w:pPr>
    </w:p>
    <w:p w:rsidR="00F92017" w:rsidRDefault="00F92017">
      <w:pPr>
        <w:rPr>
          <w:rFonts w:asciiTheme="minorHAnsi" w:hAnsiTheme="minorHAnsi" w:cstheme="minorHAnsi"/>
          <w:sz w:val="64"/>
          <w:szCs w:val="64"/>
        </w:rPr>
      </w:pPr>
      <w:r>
        <w:rPr>
          <w:noProof/>
        </w:rPr>
        <w:lastRenderedPageBreak/>
        <w:drawing>
          <wp:inline distT="0" distB="0" distL="0" distR="0">
            <wp:extent cx="5486400" cy="3638774"/>
            <wp:effectExtent l="0" t="0" r="0" b="0"/>
            <wp:docPr id="34" name="Picture 34" descr="This illustration shows the spongy bone within the proximal epiphysis of the femur in two successively magnified images. The lower-magnification image shows two layers of crisscrossing trabeculae. The surface of each is dotted with small black holes which are the openings of the canaliculi. One of the trabeculae is in a cross section to show its internal layers. The outermost covering of the lamellae is called the endosteum. This endosteum surrounds several layers of concentric lamellae. The higher-magnification image shows the cross section of the trabeculae more clearly. Three concentric lamellae are shown in this view, each possessing perpendicular black lines. These lines are the canaliculi and are oriented on the round lamellae similar to the spokes of a wheel. In between the lamellae are small cavities called lacunae which house cells called osteocytes. In addition, two large osteoclasts are seated on the outer edge of the outermost lamellae. The outermost lamellae are also surrounded by groups of small, white, osteobla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his illustration shows the spongy bone within the proximal epiphysis of the femur in two successively magnified images. The lower-magnification image shows two layers of crisscrossing trabeculae. The surface of each is dotted with small black holes which are the openings of the canaliculi. One of the trabeculae is in a cross section to show its internal layers. The outermost covering of the lamellae is called the endosteum. This endosteum surrounds several layers of concentric lamellae. The higher-magnification image shows the cross section of the trabeculae more clearly. Three concentric lamellae are shown in this view, each possessing perpendicular black lines. These lines are the canaliculi and are oriented on the round lamellae similar to the spokes of a wheel. In between the lamellae are small cavities called lacunae which house cells called osteocytes. In addition, two large osteoclasts are seated on the outer edge of the outermost lamellae. The outermost lamellae are also surrounded by groups of small, white, osteoblast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3638774"/>
                    </a:xfrm>
                    <a:prstGeom prst="rect">
                      <a:avLst/>
                    </a:prstGeom>
                    <a:noFill/>
                    <a:ln>
                      <a:noFill/>
                    </a:ln>
                  </pic:spPr>
                </pic:pic>
              </a:graphicData>
            </a:graphic>
          </wp:inline>
        </w:drawing>
      </w:r>
    </w:p>
    <w:p w:rsidR="00F92017" w:rsidRDefault="00F92017">
      <w:pPr>
        <w:rPr>
          <w:rFonts w:asciiTheme="minorHAnsi" w:hAnsiTheme="minorHAnsi" w:cstheme="minorHAnsi"/>
          <w:sz w:val="64"/>
          <w:szCs w:val="64"/>
        </w:rPr>
      </w:pPr>
      <w:r>
        <w:rPr>
          <w:rStyle w:val="Strong"/>
          <w:rFonts w:ascii="Georgia" w:hAnsi="Georgia"/>
          <w:color w:val="000000"/>
          <w:sz w:val="19"/>
          <w:szCs w:val="19"/>
          <w:bdr w:val="none" w:sz="0" w:space="0" w:color="auto" w:frame="1"/>
          <w:shd w:val="clear" w:color="auto" w:fill="FFFFFF"/>
        </w:rPr>
        <w:t>Figure 6.38 – Diagram of Spongy Bone:</w:t>
      </w:r>
      <w:r>
        <w:rPr>
          <w:rFonts w:ascii="Georgia" w:hAnsi="Georgia"/>
          <w:color w:val="000000"/>
          <w:sz w:val="19"/>
          <w:szCs w:val="19"/>
          <w:shd w:val="clear" w:color="auto" w:fill="FFFFFF"/>
        </w:rPr>
        <w:t> Spongy bone is composed of trabeculae that contain the osteocytes. Red marrow fills the spaces in some bones.</w:t>
      </w:r>
    </w:p>
    <w:p w:rsidR="00F92017" w:rsidRDefault="00F92017">
      <w:pPr>
        <w:rPr>
          <w:rFonts w:asciiTheme="minorHAnsi" w:hAnsiTheme="minorHAnsi" w:cstheme="minorHAnsi"/>
          <w:sz w:val="64"/>
          <w:szCs w:val="64"/>
        </w:rPr>
      </w:pPr>
    </w:p>
    <w:p w:rsidR="00F92017" w:rsidRDefault="00F92017">
      <w:pPr>
        <w:rPr>
          <w:rFonts w:asciiTheme="minorHAnsi" w:hAnsiTheme="minorHAnsi" w:cstheme="minorHAnsi"/>
          <w:sz w:val="64"/>
          <w:szCs w:val="64"/>
        </w:rPr>
      </w:pPr>
    </w:p>
    <w:p w:rsidR="00F92017" w:rsidRDefault="00F92017">
      <w:pPr>
        <w:rPr>
          <w:rFonts w:asciiTheme="minorHAnsi" w:hAnsiTheme="minorHAnsi" w:cstheme="minorHAnsi"/>
          <w:sz w:val="64"/>
          <w:szCs w:val="64"/>
        </w:rPr>
      </w:pPr>
    </w:p>
    <w:p w:rsidR="00F92017" w:rsidRDefault="00F92017">
      <w:pPr>
        <w:rPr>
          <w:rFonts w:asciiTheme="minorHAnsi" w:hAnsiTheme="minorHAnsi" w:cstheme="minorHAnsi"/>
          <w:sz w:val="64"/>
          <w:szCs w:val="64"/>
        </w:rPr>
      </w:pPr>
      <w:r>
        <w:rPr>
          <w:rFonts w:asciiTheme="minorHAnsi" w:hAnsiTheme="minorHAnsi" w:cstheme="minorHAnsi"/>
          <w:sz w:val="64"/>
          <w:szCs w:val="64"/>
        </w:rPr>
        <w:br w:type="page"/>
      </w:r>
    </w:p>
    <w:p w:rsidR="00F92017" w:rsidRDefault="00F92017">
      <w:pPr>
        <w:rPr>
          <w:rFonts w:ascii="Georgia" w:hAnsi="Georgia"/>
          <w:color w:val="000000"/>
          <w:sz w:val="19"/>
          <w:szCs w:val="19"/>
          <w:shd w:val="clear" w:color="auto" w:fill="EEEEEE"/>
        </w:rPr>
      </w:pPr>
      <w:r>
        <w:rPr>
          <w:noProof/>
        </w:rPr>
        <w:lastRenderedPageBreak/>
        <w:drawing>
          <wp:inline distT="0" distB="0" distL="0" distR="0">
            <wp:extent cx="5486400" cy="5655833"/>
            <wp:effectExtent l="0" t="0" r="0" b="2540"/>
            <wp:docPr id="35" name="Picture 35" descr="This illustration shows the normal skeletal structure of the legs from an anterior view. The flesh of the legs and feet are outlined around the skeleton for reference. A second illustration shows the legs of someone with Pagetâs disease. The affected personâs left femur is curved outward, causing the left leg to be bowed and shorter than the right l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his illustration shows the normal skeletal structure of the legs from an anterior view. The flesh of the legs and feet are outlined around the skeleton for reference. A second illustration shows the legs of someone with Pagetâs disease. The affected personâs left femur is curved outward, causing the left leg to be bowed and shorter than the right l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5655833"/>
                    </a:xfrm>
                    <a:prstGeom prst="rect">
                      <a:avLst/>
                    </a:prstGeom>
                    <a:noFill/>
                    <a:ln>
                      <a:noFill/>
                    </a:ln>
                  </pic:spPr>
                </pic:pic>
              </a:graphicData>
            </a:graphic>
          </wp:inline>
        </w:drawing>
      </w:r>
      <w:r>
        <w:rPr>
          <w:rStyle w:val="Strong"/>
          <w:rFonts w:ascii="Georgia" w:hAnsi="Georgia"/>
          <w:color w:val="000000"/>
          <w:sz w:val="19"/>
          <w:szCs w:val="19"/>
          <w:bdr w:val="none" w:sz="0" w:space="0" w:color="auto" w:frame="1"/>
          <w:shd w:val="clear" w:color="auto" w:fill="EEEEEE"/>
        </w:rPr>
        <w:t>Figure 6.39 – Paget’s Disease:</w:t>
      </w:r>
      <w:r>
        <w:rPr>
          <w:rFonts w:ascii="Georgia" w:hAnsi="Georgia"/>
          <w:color w:val="000000"/>
          <w:sz w:val="19"/>
          <w:szCs w:val="19"/>
          <w:shd w:val="clear" w:color="auto" w:fill="EEEEEE"/>
        </w:rPr>
        <w:t> Normal leg bones are relatively straight, but those affected by Paget’s disease are porous and curved.</w:t>
      </w:r>
    </w:p>
    <w:p w:rsidR="00F92017" w:rsidRDefault="00F92017">
      <w:pPr>
        <w:rPr>
          <w:rFonts w:ascii="Georgia" w:hAnsi="Georgia"/>
          <w:color w:val="000000"/>
          <w:sz w:val="19"/>
          <w:szCs w:val="19"/>
          <w:shd w:val="clear" w:color="auto" w:fill="EEEEEE"/>
        </w:rPr>
      </w:pPr>
    </w:p>
    <w:p w:rsidR="00F92017" w:rsidRDefault="00F92017">
      <w:pPr>
        <w:rPr>
          <w:rFonts w:ascii="Georgia" w:hAnsi="Georgia"/>
          <w:color w:val="000000"/>
          <w:sz w:val="19"/>
          <w:szCs w:val="19"/>
          <w:shd w:val="clear" w:color="auto" w:fill="EEEEEE"/>
        </w:rPr>
      </w:pPr>
    </w:p>
    <w:p w:rsidR="00F92017" w:rsidRDefault="00F92017">
      <w:pPr>
        <w:rPr>
          <w:rFonts w:ascii="Georgia" w:hAnsi="Georgia"/>
          <w:color w:val="000000"/>
          <w:sz w:val="19"/>
          <w:szCs w:val="19"/>
          <w:shd w:val="clear" w:color="auto" w:fill="EEEEEE"/>
        </w:rPr>
      </w:pPr>
    </w:p>
    <w:p w:rsidR="00F92017" w:rsidRDefault="00F92017">
      <w:pPr>
        <w:rPr>
          <w:rFonts w:ascii="Georgia" w:hAnsi="Georgia"/>
          <w:color w:val="000000"/>
          <w:sz w:val="19"/>
          <w:szCs w:val="19"/>
          <w:shd w:val="clear" w:color="auto" w:fill="EEEEEE"/>
        </w:rPr>
      </w:pPr>
    </w:p>
    <w:p w:rsidR="00F92017" w:rsidRDefault="00F92017">
      <w:pPr>
        <w:rPr>
          <w:rFonts w:ascii="Georgia" w:hAnsi="Georgia"/>
          <w:color w:val="000000"/>
          <w:sz w:val="19"/>
          <w:szCs w:val="19"/>
          <w:shd w:val="clear" w:color="auto" w:fill="EEEEEE"/>
        </w:rPr>
      </w:pPr>
    </w:p>
    <w:p w:rsidR="00F92017" w:rsidRDefault="00F92017">
      <w:pPr>
        <w:rPr>
          <w:rFonts w:ascii="Georgia" w:hAnsi="Georgia"/>
          <w:color w:val="000000"/>
          <w:sz w:val="19"/>
          <w:szCs w:val="19"/>
          <w:shd w:val="clear" w:color="auto" w:fill="EEEEEE"/>
        </w:rPr>
      </w:pPr>
    </w:p>
    <w:p w:rsidR="00F92017" w:rsidRDefault="00F92017">
      <w:pPr>
        <w:rPr>
          <w:rFonts w:ascii="Georgia" w:hAnsi="Georgia"/>
          <w:color w:val="000000"/>
          <w:sz w:val="19"/>
          <w:szCs w:val="19"/>
          <w:shd w:val="clear" w:color="auto" w:fill="EEEEEE"/>
        </w:rPr>
      </w:pPr>
    </w:p>
    <w:p w:rsidR="00F92017" w:rsidRDefault="00F92017">
      <w:pPr>
        <w:rPr>
          <w:rFonts w:ascii="Georgia" w:hAnsi="Georgia"/>
          <w:color w:val="000000"/>
          <w:sz w:val="19"/>
          <w:szCs w:val="19"/>
          <w:shd w:val="clear" w:color="auto" w:fill="EEEEEE"/>
        </w:rPr>
      </w:pPr>
    </w:p>
    <w:p w:rsidR="00F92017" w:rsidRDefault="00F92017">
      <w:pPr>
        <w:rPr>
          <w:rFonts w:ascii="Georgia" w:hAnsi="Georgia"/>
          <w:color w:val="000000"/>
          <w:sz w:val="19"/>
          <w:szCs w:val="19"/>
          <w:shd w:val="clear" w:color="auto" w:fill="EEEEEE"/>
        </w:rPr>
      </w:pPr>
    </w:p>
    <w:p w:rsidR="00F92017" w:rsidRDefault="00F92017">
      <w:pPr>
        <w:rPr>
          <w:rFonts w:ascii="Georgia" w:hAnsi="Georgia"/>
          <w:color w:val="000000"/>
          <w:sz w:val="19"/>
          <w:szCs w:val="19"/>
          <w:shd w:val="clear" w:color="auto" w:fill="EEEEEE"/>
        </w:rPr>
      </w:pPr>
    </w:p>
    <w:p w:rsidR="00F92017" w:rsidRDefault="00F92017">
      <w:pPr>
        <w:rPr>
          <w:rFonts w:ascii="Georgia" w:hAnsi="Georgia"/>
          <w:color w:val="000000"/>
          <w:sz w:val="19"/>
          <w:szCs w:val="19"/>
          <w:shd w:val="clear" w:color="auto" w:fill="EEEEEE"/>
        </w:rPr>
      </w:pPr>
    </w:p>
    <w:p w:rsidR="00F92017" w:rsidRDefault="00F92017">
      <w:pPr>
        <w:rPr>
          <w:rFonts w:ascii="Georgia" w:hAnsi="Georgia"/>
          <w:color w:val="000000"/>
          <w:sz w:val="19"/>
          <w:szCs w:val="19"/>
          <w:shd w:val="clear" w:color="auto" w:fill="EEEEEE"/>
        </w:rPr>
      </w:pPr>
    </w:p>
    <w:p w:rsidR="00F92017" w:rsidRDefault="00F92017">
      <w:pPr>
        <w:rPr>
          <w:rFonts w:ascii="Georgia" w:hAnsi="Georgia"/>
          <w:color w:val="000000"/>
          <w:sz w:val="19"/>
          <w:szCs w:val="19"/>
          <w:shd w:val="clear" w:color="auto" w:fill="EEEEEE"/>
        </w:rPr>
      </w:pPr>
    </w:p>
    <w:p w:rsidR="00F92017" w:rsidRDefault="00F92017">
      <w:pPr>
        <w:rPr>
          <w:rFonts w:ascii="Georgia" w:hAnsi="Georgia"/>
          <w:color w:val="000000"/>
          <w:sz w:val="19"/>
          <w:szCs w:val="19"/>
          <w:shd w:val="clear" w:color="auto" w:fill="EEEEEE"/>
        </w:rPr>
      </w:pPr>
    </w:p>
    <w:p w:rsidR="00F92017" w:rsidRDefault="00F92017">
      <w:pPr>
        <w:rPr>
          <w:rFonts w:ascii="Georgia" w:hAnsi="Georgia"/>
          <w:color w:val="000000"/>
          <w:sz w:val="19"/>
          <w:szCs w:val="19"/>
          <w:shd w:val="clear" w:color="auto" w:fill="EEEEEE"/>
        </w:rPr>
      </w:pPr>
    </w:p>
    <w:p w:rsidR="00F92017" w:rsidRDefault="00F92017">
      <w:pPr>
        <w:rPr>
          <w:rFonts w:ascii="Georgia" w:hAnsi="Georgia"/>
          <w:color w:val="000000"/>
          <w:sz w:val="19"/>
          <w:szCs w:val="19"/>
          <w:shd w:val="clear" w:color="auto" w:fill="EEEEEE"/>
        </w:rPr>
      </w:pPr>
    </w:p>
    <w:p w:rsidR="00F92017" w:rsidRDefault="00F92017">
      <w:pPr>
        <w:rPr>
          <w:rFonts w:asciiTheme="minorHAnsi" w:hAnsiTheme="minorHAnsi" w:cstheme="minorHAnsi"/>
          <w:sz w:val="64"/>
          <w:szCs w:val="64"/>
        </w:rPr>
      </w:pPr>
      <w:r>
        <w:rPr>
          <w:rFonts w:asciiTheme="minorHAnsi" w:hAnsiTheme="minorHAnsi" w:cstheme="minorHAnsi"/>
          <w:sz w:val="64"/>
          <w:szCs w:val="64"/>
        </w:rPr>
        <w:lastRenderedPageBreak/>
        <w:t>Blood and Nerve Supply</w:t>
      </w:r>
    </w:p>
    <w:p w:rsidR="00F92017" w:rsidRDefault="00F92017">
      <w:pPr>
        <w:rPr>
          <w:rFonts w:asciiTheme="minorHAnsi" w:hAnsiTheme="minorHAnsi" w:cstheme="minorHAnsi"/>
          <w:sz w:val="64"/>
          <w:szCs w:val="64"/>
        </w:rPr>
      </w:pPr>
      <w:r>
        <w:rPr>
          <w:rFonts w:asciiTheme="minorHAnsi" w:hAnsiTheme="minorHAnsi" w:cstheme="minorHAnsi"/>
          <w:sz w:val="64"/>
          <w:szCs w:val="64"/>
        </w:rPr>
        <w:br w:type="page"/>
      </w:r>
    </w:p>
    <w:p w:rsidR="00F92017" w:rsidRDefault="00F92017">
      <w:pPr>
        <w:rPr>
          <w:rFonts w:asciiTheme="minorHAnsi" w:hAnsiTheme="minorHAnsi" w:cstheme="minorHAnsi"/>
          <w:sz w:val="64"/>
          <w:szCs w:val="64"/>
        </w:rPr>
      </w:pPr>
      <w:r>
        <w:rPr>
          <w:noProof/>
        </w:rPr>
        <w:lastRenderedPageBreak/>
        <w:drawing>
          <wp:inline distT="0" distB="0" distL="0" distR="0">
            <wp:extent cx="4247977" cy="5914904"/>
            <wp:effectExtent l="0" t="0" r="635" b="0"/>
            <wp:docPr id="36" name="Picture 36" descr="This illustration shows an anterior view if the right femur. The femur is split in half lengthwise to show its internal anatomy. The outer covering of the femur is labeled the periosteum. Within it is a thin layer of compact bone that surrounds a central cavity called the medullary or marrow cavity. This cavity is filled with spongy bone at both epiphyses. A nutrient artery and vein travels through the periosteum and compact bone at the center of the diaphysis. After entering the bone, the nutrient arteries and veins spread throughout the marrow cavity in both directions. Some of the arteries and veins in the marrow cavity also spread into the spongy bone within the distal and proximal epiphyses. However, additional blood vessels called the metaphyseal arteries and the metaphyseal veins enter into the metaphysis from outside of the b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his illustration shows an anterior view if the right femur. The femur is split in half lengthwise to show its internal anatomy. The outer covering of the femur is labeled the periosteum. Within it is a thin layer of compact bone that surrounds a central cavity called the medullary or marrow cavity. This cavity is filled with spongy bone at both epiphyses. A nutrient artery and vein travels through the periosteum and compact bone at the center of the diaphysis. After entering the bone, the nutrient arteries and veins spread throughout the marrow cavity in both directions. Some of the arteries and veins in the marrow cavity also spread into the spongy bone within the distal and proximal epiphyses. However, additional blood vessels called the metaphyseal arteries and the metaphyseal veins enter into the metaphysis from outside of the bon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53768" cy="5922967"/>
                    </a:xfrm>
                    <a:prstGeom prst="rect">
                      <a:avLst/>
                    </a:prstGeom>
                    <a:noFill/>
                    <a:ln>
                      <a:noFill/>
                    </a:ln>
                  </pic:spPr>
                </pic:pic>
              </a:graphicData>
            </a:graphic>
          </wp:inline>
        </w:drawing>
      </w:r>
    </w:p>
    <w:p w:rsidR="00F92017" w:rsidRDefault="00F92017">
      <w:pPr>
        <w:rPr>
          <w:rStyle w:val="Strong"/>
          <w:rFonts w:ascii="Georgia" w:hAnsi="Georgia"/>
          <w:color w:val="000000"/>
          <w:sz w:val="19"/>
          <w:szCs w:val="19"/>
          <w:bdr w:val="none" w:sz="0" w:space="0" w:color="auto" w:frame="1"/>
          <w:shd w:val="clear" w:color="auto" w:fill="FFFFFF"/>
        </w:rPr>
      </w:pPr>
    </w:p>
    <w:p w:rsidR="00F92017" w:rsidRDefault="00F92017">
      <w:pPr>
        <w:rPr>
          <w:rFonts w:asciiTheme="minorHAnsi" w:hAnsiTheme="minorHAnsi" w:cstheme="minorHAnsi"/>
          <w:sz w:val="64"/>
          <w:szCs w:val="64"/>
        </w:rPr>
      </w:pPr>
      <w:r>
        <w:rPr>
          <w:rStyle w:val="Strong"/>
          <w:rFonts w:ascii="Georgia" w:hAnsi="Georgia"/>
          <w:color w:val="000000"/>
          <w:sz w:val="19"/>
          <w:szCs w:val="19"/>
          <w:bdr w:val="none" w:sz="0" w:space="0" w:color="auto" w:frame="1"/>
          <w:shd w:val="clear" w:color="auto" w:fill="FFFFFF"/>
        </w:rPr>
        <w:t>Figure 6.310 – Diagram of Blood and Nerve Supply to Bone:</w:t>
      </w:r>
      <w:r>
        <w:rPr>
          <w:rFonts w:ascii="Georgia" w:hAnsi="Georgia"/>
          <w:color w:val="000000"/>
          <w:sz w:val="19"/>
          <w:szCs w:val="19"/>
          <w:shd w:val="clear" w:color="auto" w:fill="FFFFFF"/>
        </w:rPr>
        <w:t> Blood vessels and nerves enter the bone through the nutrient foramen.</w:t>
      </w:r>
      <w:r>
        <w:rPr>
          <w:rFonts w:asciiTheme="minorHAnsi" w:hAnsiTheme="minorHAnsi" w:cstheme="minorHAnsi"/>
          <w:sz w:val="64"/>
          <w:szCs w:val="64"/>
        </w:rPr>
        <w:br w:type="page"/>
      </w:r>
    </w:p>
    <w:p w:rsidR="00F92017" w:rsidRDefault="00DD0253">
      <w:pPr>
        <w:rPr>
          <w:rFonts w:asciiTheme="minorHAnsi" w:hAnsiTheme="minorHAnsi" w:cstheme="minorHAnsi"/>
          <w:sz w:val="64"/>
          <w:szCs w:val="64"/>
        </w:rPr>
      </w:pPr>
      <w:r>
        <w:rPr>
          <w:rFonts w:asciiTheme="minorHAnsi" w:hAnsiTheme="minorHAnsi" w:cstheme="minorHAnsi"/>
          <w:sz w:val="64"/>
          <w:szCs w:val="64"/>
        </w:rPr>
        <w:lastRenderedPageBreak/>
        <w:t>Bone Formation and Development</w:t>
      </w:r>
      <w:r w:rsidR="00F92017">
        <w:rPr>
          <w:rFonts w:asciiTheme="minorHAnsi" w:hAnsiTheme="minorHAnsi" w:cstheme="minorHAnsi"/>
          <w:sz w:val="64"/>
          <w:szCs w:val="64"/>
        </w:rPr>
        <w:br w:type="page"/>
      </w:r>
    </w:p>
    <w:p w:rsidR="00DD0253" w:rsidRDefault="00DD0253">
      <w:pPr>
        <w:rPr>
          <w:rFonts w:asciiTheme="minorHAnsi" w:hAnsiTheme="minorHAnsi" w:cstheme="minorHAnsi"/>
          <w:sz w:val="64"/>
          <w:szCs w:val="64"/>
        </w:rPr>
      </w:pPr>
      <w:r>
        <w:rPr>
          <w:noProof/>
        </w:rPr>
        <w:lastRenderedPageBreak/>
        <w:drawing>
          <wp:inline distT="0" distB="0" distL="0" distR="0">
            <wp:extent cx="5486400" cy="3824344"/>
            <wp:effectExtent l="0" t="0" r="0" b="5080"/>
            <wp:docPr id="39" name="Picture 39" descr="http://library.open.oregonstate.edu/aandp/wp-content/uploads/sites/9/2018/10/611_Intramembraneous_Ossification-1024x715-e1541451013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library.open.oregonstate.edu/aandp/wp-content/uploads/sites/9/2018/10/611_Intramembraneous_Ossification-1024x715-e154145101335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3824344"/>
                    </a:xfrm>
                    <a:prstGeom prst="rect">
                      <a:avLst/>
                    </a:prstGeom>
                    <a:noFill/>
                    <a:ln>
                      <a:noFill/>
                    </a:ln>
                  </pic:spPr>
                </pic:pic>
              </a:graphicData>
            </a:graphic>
          </wp:inline>
        </w:drawing>
      </w:r>
    </w:p>
    <w:p w:rsidR="00DD0253" w:rsidRDefault="00DD0253">
      <w:pPr>
        <w:rPr>
          <w:rFonts w:asciiTheme="minorHAnsi" w:hAnsiTheme="minorHAnsi" w:cstheme="minorHAnsi"/>
          <w:sz w:val="64"/>
          <w:szCs w:val="64"/>
        </w:rPr>
      </w:pPr>
    </w:p>
    <w:p w:rsidR="00DD0253" w:rsidRDefault="00DD0253">
      <w:pPr>
        <w:rPr>
          <w:rFonts w:asciiTheme="minorHAnsi" w:hAnsiTheme="minorHAnsi" w:cstheme="minorHAnsi"/>
          <w:sz w:val="64"/>
          <w:szCs w:val="64"/>
        </w:rPr>
      </w:pPr>
      <w:r>
        <w:rPr>
          <w:rStyle w:val="Strong"/>
          <w:rFonts w:ascii="Georgia" w:hAnsi="Georgia"/>
          <w:color w:val="000000"/>
          <w:sz w:val="19"/>
          <w:szCs w:val="19"/>
          <w:bdr w:val="none" w:sz="0" w:space="0" w:color="auto" w:frame="1"/>
          <w:shd w:val="clear" w:color="auto" w:fill="FFFFFF"/>
        </w:rPr>
        <w:t>Figure 6.41 – Intramembranous Ossification:</w:t>
      </w:r>
      <w:r>
        <w:rPr>
          <w:rFonts w:ascii="Georgia" w:hAnsi="Georgia"/>
          <w:color w:val="000000"/>
          <w:sz w:val="19"/>
          <w:szCs w:val="19"/>
          <w:shd w:val="clear" w:color="auto" w:fill="FFFFFF"/>
        </w:rPr>
        <w:t> Intramembranous ossification follows four steps. (a) Mesenchymal cells group into clusters, differentiate into osteoblasts, and ossification centers form. (b) Secreted osteoid traps osteoblasts, which then become osteocytes. (c) Trabecular matrix and periosteum form. (d) Compact bone develops superficial to the trabecular bone, and crowded blood vessels condense into red bone marrow.</w:t>
      </w:r>
      <w:r>
        <w:rPr>
          <w:rFonts w:asciiTheme="minorHAnsi" w:hAnsiTheme="minorHAnsi" w:cstheme="minorHAnsi"/>
          <w:sz w:val="64"/>
          <w:szCs w:val="64"/>
        </w:rPr>
        <w:br w:type="page"/>
      </w:r>
    </w:p>
    <w:p w:rsidR="00DD0253" w:rsidRDefault="00DD0253">
      <w:pPr>
        <w:rPr>
          <w:rFonts w:asciiTheme="minorHAnsi" w:hAnsiTheme="minorHAnsi" w:cstheme="minorHAnsi"/>
          <w:sz w:val="64"/>
          <w:szCs w:val="64"/>
        </w:rPr>
      </w:pPr>
      <w:r>
        <w:rPr>
          <w:noProof/>
        </w:rPr>
        <w:lastRenderedPageBreak/>
        <w:drawing>
          <wp:inline distT="0" distB="0" distL="0" distR="0">
            <wp:extent cx="4819422" cy="6435646"/>
            <wp:effectExtent l="0" t="0" r="635" b="3810"/>
            <wp:docPr id="40" name="Picture 40" descr="Image A shows a small piece of hyaline cartilage that looks like a bone but without the characteristic enlarged ends. The hyaline cartilage is surrounded by a thin perichondrium. In image B, the hyaline cartilage has increased in size and the ends have begun to bulge outwards. A group of dark granules form at the center of the cartilage. This is labeled the calcified matrix, as opposed to the rest of the cartilage, which is uncalcified matrix. In image C, the hyaline cartilage has again increased in size and spongy bone has formed at the calcified matrix. This is now called the primary ossification center. A nutrient artery has invaded the ossification center and is growing through the cavities of the new spongy bone. In image D, the cartilage now looks like a bone, as it has greatly increased in size and each end has two bulges. Only the proximal half of the bone is shown in all of the remaining images. In image D, spongy bone has completely developed in the medullary cavity, which is surrounded, on both sides, by compact bone. Now, the calcified matrix is located at the border between the proximal metaphysis and the proximal epiphysis. The epiphysis is still composed of uncalcified matrix. In image E, arteries and veins have now invaded the epiphysis, forming a calcified matrix at its center. This is called a secondary ossification center. In image F, the interior of the epiphysis is now completely calcified into bone. The outer edge of the epiphysis remains as cartilage, forming the articular cartilage at the joint. In addition, the border between the epiphysis and the metaphysis remains uncalcified, forming the epiphyseal 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A shows a small piece of hyaline cartilage that looks like a bone but without the characteristic enlarged ends. The hyaline cartilage is surrounded by a thin perichondrium. In image B, the hyaline cartilage has increased in size and the ends have begun to bulge outwards. A group of dark granules form at the center of the cartilage. This is labeled the calcified matrix, as opposed to the rest of the cartilage, which is uncalcified matrix. In image C, the hyaline cartilage has again increased in size and spongy bone has formed at the calcified matrix. This is now called the primary ossification center. A nutrient artery has invaded the ossification center and is growing through the cavities of the new spongy bone. In image D, the cartilage now looks like a bone, as it has greatly increased in size and each end has two bulges. Only the proximal half of the bone is shown in all of the remaining images. In image D, spongy bone has completely developed in the medullary cavity, which is surrounded, on both sides, by compact bone. Now, the calcified matrix is located at the border between the proximal metaphysis and the proximal epiphysis. The epiphysis is still composed of uncalcified matrix. In image E, arteries and veins have now invaded the epiphysis, forming a calcified matrix at its center. This is called a secondary ossification center. In image F, the interior of the epiphysis is now completely calcified into bone. The outer edge of the epiphysis remains as cartilage, forming the articular cartilage at the joint. In addition, the border between the epiphysis and the metaphysis remains uncalcified, forming the epiphyseal plat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24484" cy="6442406"/>
                    </a:xfrm>
                    <a:prstGeom prst="rect">
                      <a:avLst/>
                    </a:prstGeom>
                    <a:noFill/>
                    <a:ln>
                      <a:noFill/>
                    </a:ln>
                  </pic:spPr>
                </pic:pic>
              </a:graphicData>
            </a:graphic>
          </wp:inline>
        </w:drawing>
      </w:r>
    </w:p>
    <w:p w:rsidR="00DD0253" w:rsidRDefault="00DD0253">
      <w:pPr>
        <w:rPr>
          <w:rFonts w:asciiTheme="minorHAnsi" w:hAnsiTheme="minorHAnsi" w:cstheme="minorHAnsi"/>
          <w:sz w:val="64"/>
          <w:szCs w:val="64"/>
        </w:rPr>
      </w:pPr>
      <w:r>
        <w:rPr>
          <w:rFonts w:ascii="Georgia" w:hAnsi="Georgia"/>
          <w:color w:val="000000"/>
          <w:sz w:val="19"/>
          <w:szCs w:val="19"/>
          <w:shd w:val="clear" w:color="auto" w:fill="FFFFFF"/>
        </w:rPr>
        <w:t>Figure 6.42. Endochondral Ossification. Endochondral ossification follows five steps. (a) Mesenchymal cells differentiate into chondrocytes that produce a cartilage model of the future bony skeleton. (b) Blood vessels on the edge of the cartilage model bring osteoblasts that deposit a bony collar. (c) Capillaries penetrate cartilage and deposit bone inside cartilage model, forming primary ossification center. (d) Cartilage and chondrocytes continue to grow at ends of the bone while medullary cavity expands and remodels. (e) Secondary ossification centers develop after birth. (f) Hyaline cartilage remains at epiphyseal (growth) plate and at joint surface as articular cartilage.</w:t>
      </w:r>
      <w:r>
        <w:rPr>
          <w:rFonts w:asciiTheme="minorHAnsi" w:hAnsiTheme="minorHAnsi" w:cstheme="minorHAnsi"/>
          <w:sz w:val="64"/>
          <w:szCs w:val="64"/>
        </w:rPr>
        <w:br w:type="page"/>
      </w:r>
    </w:p>
    <w:p w:rsidR="00DD0253" w:rsidRDefault="00DD0253">
      <w:pPr>
        <w:rPr>
          <w:rFonts w:asciiTheme="minorHAnsi" w:hAnsiTheme="minorHAnsi" w:cstheme="minorHAnsi"/>
          <w:sz w:val="64"/>
          <w:szCs w:val="64"/>
        </w:rPr>
      </w:pPr>
      <w:r>
        <w:rPr>
          <w:rFonts w:asciiTheme="minorHAnsi" w:hAnsiTheme="minorHAnsi" w:cstheme="minorHAnsi"/>
          <w:sz w:val="64"/>
          <w:szCs w:val="64"/>
        </w:rPr>
        <w:lastRenderedPageBreak/>
        <w:t>How Bones Grow in Length</w:t>
      </w:r>
    </w:p>
    <w:p w:rsidR="00DD0253" w:rsidRDefault="00DD0253">
      <w:pPr>
        <w:rPr>
          <w:rFonts w:asciiTheme="minorHAnsi" w:hAnsiTheme="minorHAnsi" w:cstheme="minorHAnsi"/>
          <w:sz w:val="64"/>
          <w:szCs w:val="64"/>
        </w:rPr>
      </w:pPr>
      <w:r>
        <w:rPr>
          <w:rFonts w:asciiTheme="minorHAnsi" w:hAnsiTheme="minorHAnsi" w:cstheme="minorHAnsi"/>
          <w:sz w:val="64"/>
          <w:szCs w:val="64"/>
        </w:rPr>
        <w:br w:type="page"/>
      </w:r>
    </w:p>
    <w:p w:rsidR="00DD0253" w:rsidRDefault="00DD0253">
      <w:pPr>
        <w:rPr>
          <w:rFonts w:asciiTheme="minorHAnsi" w:hAnsiTheme="minorHAnsi" w:cstheme="minorHAnsi"/>
          <w:sz w:val="64"/>
          <w:szCs w:val="64"/>
        </w:rPr>
      </w:pPr>
      <w:r>
        <w:rPr>
          <w:noProof/>
        </w:rPr>
        <w:lastRenderedPageBreak/>
        <w:drawing>
          <wp:inline distT="0" distB="0" distL="0" distR="0">
            <wp:extent cx="4352925" cy="6779777"/>
            <wp:effectExtent l="0" t="0" r="0" b="2540"/>
            <wp:docPr id="41" name="Picture 41" descr="http://library.open.oregonstate.edu/aandp/wp-content/uploads/sites/9/2018/10/622_Longitudinal_Bone_Growth_revised-657x1024-e1541450922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library.open.oregonstate.edu/aandp/wp-content/uploads/sites/9/2018/10/622_Longitudinal_Bone_Growth_revised-657x1024-e154145092222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57558" cy="6786993"/>
                    </a:xfrm>
                    <a:prstGeom prst="rect">
                      <a:avLst/>
                    </a:prstGeom>
                    <a:noFill/>
                    <a:ln>
                      <a:noFill/>
                    </a:ln>
                  </pic:spPr>
                </pic:pic>
              </a:graphicData>
            </a:graphic>
          </wp:inline>
        </w:drawing>
      </w:r>
    </w:p>
    <w:p w:rsidR="00DD0253" w:rsidRDefault="00DD0253">
      <w:pPr>
        <w:rPr>
          <w:rStyle w:val="Strong"/>
          <w:rFonts w:ascii="Georgia" w:hAnsi="Georgia"/>
          <w:color w:val="000000"/>
          <w:sz w:val="19"/>
          <w:szCs w:val="19"/>
          <w:bdr w:val="none" w:sz="0" w:space="0" w:color="auto" w:frame="1"/>
          <w:shd w:val="clear" w:color="auto" w:fill="FFFFFF"/>
        </w:rPr>
      </w:pPr>
    </w:p>
    <w:p w:rsidR="00DD0253" w:rsidRDefault="00DD0253">
      <w:pPr>
        <w:rPr>
          <w:rFonts w:asciiTheme="minorHAnsi" w:hAnsiTheme="minorHAnsi" w:cstheme="minorHAnsi"/>
          <w:sz w:val="64"/>
          <w:szCs w:val="64"/>
        </w:rPr>
      </w:pPr>
      <w:r>
        <w:rPr>
          <w:rStyle w:val="Strong"/>
          <w:rFonts w:ascii="Georgia" w:hAnsi="Georgia"/>
          <w:color w:val="000000"/>
          <w:sz w:val="19"/>
          <w:szCs w:val="19"/>
          <w:bdr w:val="none" w:sz="0" w:space="0" w:color="auto" w:frame="1"/>
          <w:shd w:val="clear" w:color="auto" w:fill="FFFFFF"/>
        </w:rPr>
        <w:t>Figure 6.43 – Longitudinal Bone Growth:</w:t>
      </w:r>
      <w:r>
        <w:rPr>
          <w:rFonts w:ascii="Georgia" w:hAnsi="Georgia"/>
          <w:color w:val="000000"/>
          <w:sz w:val="19"/>
          <w:szCs w:val="19"/>
          <w:shd w:val="clear" w:color="auto" w:fill="FFFFFF"/>
        </w:rPr>
        <w:t> The epiphyseal plate is responsible for longitudinal bone growth.</w:t>
      </w:r>
      <w:r>
        <w:rPr>
          <w:rFonts w:asciiTheme="minorHAnsi" w:hAnsiTheme="minorHAnsi" w:cstheme="minorHAnsi"/>
          <w:sz w:val="64"/>
          <w:szCs w:val="64"/>
        </w:rPr>
        <w:br w:type="page"/>
      </w:r>
    </w:p>
    <w:p w:rsidR="00DD0253" w:rsidRDefault="00DD0253">
      <w:pPr>
        <w:rPr>
          <w:rStyle w:val="Strong"/>
          <w:rFonts w:ascii="Georgia" w:hAnsi="Georgia"/>
          <w:color w:val="000000"/>
          <w:sz w:val="19"/>
          <w:szCs w:val="19"/>
          <w:bdr w:val="none" w:sz="0" w:space="0" w:color="auto" w:frame="1"/>
          <w:shd w:val="clear" w:color="auto" w:fill="FFFFFF"/>
        </w:rPr>
      </w:pPr>
      <w:r>
        <w:rPr>
          <w:noProof/>
        </w:rPr>
        <w:lastRenderedPageBreak/>
        <w:drawing>
          <wp:inline distT="0" distB="0" distL="0" distR="0">
            <wp:extent cx="5486400" cy="4340711"/>
            <wp:effectExtent l="0" t="0" r="0" b="3175"/>
            <wp:docPr id="43" name="Picture 43" descr="This illustration shows anterior views of a right and left femur. The left femur possesses a growth plate at the border of its distal metaphysis and distal epiphysis. The proximal epiphysis has two growth plates. The first is located below the head of the femur while the second is located below the trochanter, which is the bump on the lateral side of the femur. The right femur has the same plates as the left femur. However, the left femur represents a mature long bone. Here, growth is completed and the epiphyseal plate has degraded to a thin, faint, epiphyseal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his illustration shows anterior views of a right and left femur. The left femur possesses a growth plate at the border of its distal metaphysis and distal epiphysis. The proximal epiphysis has two growth plates. The first is located below the head of the femur while the second is located below the trochanter, which is the bump on the lateral side of the femur. The right femur has the same plates as the left femur. However, the left femur represents a mature long bone. Here, growth is completed and the epiphyseal plate has degraded to a thin, faint, epiphyseal lin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6400" cy="4340711"/>
                    </a:xfrm>
                    <a:prstGeom prst="rect">
                      <a:avLst/>
                    </a:prstGeom>
                    <a:noFill/>
                    <a:ln>
                      <a:noFill/>
                    </a:ln>
                  </pic:spPr>
                </pic:pic>
              </a:graphicData>
            </a:graphic>
          </wp:inline>
        </w:drawing>
      </w:r>
    </w:p>
    <w:p w:rsidR="00DD0253" w:rsidRDefault="00DD0253">
      <w:pPr>
        <w:rPr>
          <w:rStyle w:val="Strong"/>
          <w:rFonts w:ascii="Georgia" w:hAnsi="Georgia"/>
          <w:color w:val="000000"/>
          <w:sz w:val="19"/>
          <w:szCs w:val="19"/>
          <w:bdr w:val="none" w:sz="0" w:space="0" w:color="auto" w:frame="1"/>
          <w:shd w:val="clear" w:color="auto" w:fill="FFFFFF"/>
        </w:rPr>
      </w:pPr>
    </w:p>
    <w:p w:rsidR="00DD0253" w:rsidRDefault="00DD0253">
      <w:pPr>
        <w:rPr>
          <w:rFonts w:ascii="Georgia" w:hAnsi="Georgia"/>
          <w:color w:val="000000"/>
          <w:sz w:val="19"/>
          <w:szCs w:val="19"/>
          <w:shd w:val="clear" w:color="auto" w:fill="FFFFFF"/>
        </w:rPr>
      </w:pPr>
      <w:r>
        <w:rPr>
          <w:rStyle w:val="Strong"/>
          <w:rFonts w:ascii="Georgia" w:hAnsi="Georgia"/>
          <w:color w:val="000000"/>
          <w:sz w:val="19"/>
          <w:szCs w:val="19"/>
          <w:bdr w:val="none" w:sz="0" w:space="0" w:color="auto" w:frame="1"/>
          <w:shd w:val="clear" w:color="auto" w:fill="FFFFFF"/>
        </w:rPr>
        <w:t>Figure 6.44 – Progression from Epiphyseal Plate to Epiphyseal Line:</w:t>
      </w:r>
      <w:r>
        <w:rPr>
          <w:rFonts w:ascii="Georgia" w:hAnsi="Georgia"/>
          <w:color w:val="000000"/>
          <w:sz w:val="19"/>
          <w:szCs w:val="19"/>
          <w:shd w:val="clear" w:color="auto" w:fill="FFFFFF"/>
        </w:rPr>
        <w:t> As a bone matures, the epiphyseal plate progresses to an epiphyseal line. (a) Epiphyseal plates are visible in a growing bone. (b) Epiphyseal lines are the remnants of epiphyseal plates in a mature bone.</w:t>
      </w:r>
    </w:p>
    <w:p w:rsidR="00DD0253" w:rsidRDefault="00DD0253">
      <w:pPr>
        <w:rPr>
          <w:rFonts w:ascii="Georgia" w:hAnsi="Georgia"/>
          <w:color w:val="000000"/>
          <w:sz w:val="19"/>
          <w:szCs w:val="19"/>
          <w:shd w:val="clear" w:color="auto" w:fill="FFFFFF"/>
        </w:rPr>
      </w:pPr>
      <w:r>
        <w:rPr>
          <w:rFonts w:ascii="Georgia" w:hAnsi="Georgia"/>
          <w:color w:val="000000"/>
          <w:sz w:val="19"/>
          <w:szCs w:val="19"/>
          <w:shd w:val="clear" w:color="auto" w:fill="FFFFFF"/>
        </w:rPr>
        <w:br w:type="page"/>
      </w:r>
    </w:p>
    <w:p w:rsidR="00DD0253" w:rsidRDefault="00DD0253">
      <w:pPr>
        <w:rPr>
          <w:rFonts w:asciiTheme="minorHAnsi" w:hAnsiTheme="minorHAnsi" w:cstheme="minorHAnsi"/>
          <w:sz w:val="64"/>
          <w:szCs w:val="64"/>
        </w:rPr>
      </w:pPr>
      <w:r>
        <w:rPr>
          <w:rFonts w:asciiTheme="minorHAnsi" w:hAnsiTheme="minorHAnsi" w:cstheme="minorHAnsi"/>
          <w:sz w:val="64"/>
          <w:szCs w:val="64"/>
        </w:rPr>
        <w:lastRenderedPageBreak/>
        <w:t>Fractures and Repair</w:t>
      </w:r>
    </w:p>
    <w:p w:rsidR="00DD0253" w:rsidRDefault="00DD0253">
      <w:pPr>
        <w:rPr>
          <w:rFonts w:asciiTheme="minorHAnsi" w:hAnsiTheme="minorHAnsi" w:cstheme="minorHAnsi"/>
          <w:sz w:val="64"/>
          <w:szCs w:val="64"/>
        </w:rPr>
      </w:pPr>
      <w:r>
        <w:rPr>
          <w:rFonts w:asciiTheme="minorHAnsi" w:hAnsiTheme="minorHAnsi" w:cstheme="minorHAnsi"/>
          <w:sz w:val="64"/>
          <w:szCs w:val="64"/>
        </w:rPr>
        <w:br w:type="page"/>
      </w:r>
    </w:p>
    <w:p w:rsidR="00DD0253" w:rsidRDefault="00DD0253">
      <w:pPr>
        <w:rPr>
          <w:noProof/>
        </w:rPr>
      </w:pPr>
    </w:p>
    <w:p w:rsidR="00DD0253" w:rsidRDefault="00DD0253">
      <w:pPr>
        <w:rPr>
          <w:rFonts w:asciiTheme="minorHAnsi" w:hAnsiTheme="minorHAnsi" w:cstheme="minorHAnsi"/>
          <w:sz w:val="64"/>
          <w:szCs w:val="64"/>
        </w:rPr>
      </w:pPr>
      <w:r>
        <w:rPr>
          <w:noProof/>
        </w:rPr>
        <w:drawing>
          <wp:inline distT="0" distB="0" distL="0" distR="0">
            <wp:extent cx="3257478" cy="6267450"/>
            <wp:effectExtent l="0" t="0" r="635" b="0"/>
            <wp:docPr id="48" name="Picture 48" descr="http://library.open.oregonstate.edu/aandp/wp-content/uploads/sites/9/2018/10/612_Types_of_Fractures_revised-475x1024-e1541451002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library.open.oregonstate.edu/aandp/wp-content/uploads/sites/9/2018/10/612_Types_of_Fractures_revised-475x1024-e1541451002908.jpg"/>
                    <pic:cNvPicPr>
                      <a:picLocks noChangeAspect="1" noChangeArrowheads="1"/>
                    </pic:cNvPicPr>
                  </pic:nvPicPr>
                  <pic:blipFill rotWithShape="1">
                    <a:blip r:embed="rId20">
                      <a:extLst>
                        <a:ext uri="{28A0092B-C50C-407E-A947-70E740481C1C}">
                          <a14:useLocalDpi xmlns:a14="http://schemas.microsoft.com/office/drawing/2010/main" val="0"/>
                        </a:ext>
                      </a:extLst>
                    </a:blip>
                    <a:srcRect b="10796"/>
                    <a:stretch/>
                  </pic:blipFill>
                  <pic:spPr bwMode="auto">
                    <a:xfrm>
                      <a:off x="0" y="0"/>
                      <a:ext cx="3265196" cy="6282300"/>
                    </a:xfrm>
                    <a:prstGeom prst="rect">
                      <a:avLst/>
                    </a:prstGeom>
                    <a:noFill/>
                    <a:ln>
                      <a:noFill/>
                    </a:ln>
                    <a:extLst>
                      <a:ext uri="{53640926-AAD7-44D8-BBD7-CCE9431645EC}">
                        <a14:shadowObscured xmlns:a14="http://schemas.microsoft.com/office/drawing/2010/main"/>
                      </a:ext>
                    </a:extLst>
                  </pic:spPr>
                </pic:pic>
              </a:graphicData>
            </a:graphic>
          </wp:inline>
        </w:drawing>
      </w:r>
    </w:p>
    <w:p w:rsidR="00DD0253" w:rsidRDefault="00DD0253">
      <w:pPr>
        <w:rPr>
          <w:rFonts w:asciiTheme="minorHAnsi" w:hAnsiTheme="minorHAnsi" w:cstheme="minorHAnsi"/>
          <w:sz w:val="64"/>
          <w:szCs w:val="64"/>
        </w:rPr>
      </w:pPr>
      <w:r>
        <w:rPr>
          <w:rStyle w:val="Strong"/>
          <w:rFonts w:ascii="Georgia" w:hAnsi="Georgia"/>
          <w:color w:val="000000"/>
          <w:sz w:val="19"/>
          <w:szCs w:val="19"/>
          <w:bdr w:val="none" w:sz="0" w:space="0" w:color="auto" w:frame="1"/>
          <w:shd w:val="clear" w:color="auto" w:fill="FFFFFF"/>
        </w:rPr>
        <w:t>Figure 6.51 – Types of Fractures:</w:t>
      </w:r>
      <w:r>
        <w:rPr>
          <w:rFonts w:ascii="Georgia" w:hAnsi="Georgia"/>
          <w:color w:val="000000"/>
          <w:sz w:val="19"/>
          <w:szCs w:val="19"/>
          <w:shd w:val="clear" w:color="auto" w:fill="FFFFFF"/>
        </w:rPr>
        <w:t xml:space="preserve"> Compare healthy bone with different types of fractures: (a) open fracture, (b) closed fracture, (c) oblique fracture, (d) comminuted fracture, (e) spiral </w:t>
      </w:r>
      <w:proofErr w:type="gramStart"/>
      <w:r>
        <w:rPr>
          <w:rFonts w:ascii="Georgia" w:hAnsi="Georgia"/>
          <w:color w:val="000000"/>
          <w:sz w:val="19"/>
          <w:szCs w:val="19"/>
          <w:shd w:val="clear" w:color="auto" w:fill="FFFFFF"/>
        </w:rPr>
        <w:t>fracture ,</w:t>
      </w:r>
      <w:proofErr w:type="gramEnd"/>
      <w:r>
        <w:rPr>
          <w:rFonts w:ascii="Georgia" w:hAnsi="Georgia"/>
          <w:color w:val="000000"/>
          <w:sz w:val="19"/>
          <w:szCs w:val="19"/>
          <w:shd w:val="clear" w:color="auto" w:fill="FFFFFF"/>
        </w:rPr>
        <w:t xml:space="preserve"> (f) impacted fracture, (g) greenstick fracture, and (h) transverse fracture.</w:t>
      </w:r>
    </w:p>
    <w:p w:rsidR="00DD0253" w:rsidRDefault="00DD0253">
      <w:pPr>
        <w:rPr>
          <w:rFonts w:asciiTheme="minorHAnsi" w:hAnsiTheme="minorHAnsi" w:cstheme="minorHAnsi"/>
          <w:sz w:val="64"/>
          <w:szCs w:val="64"/>
        </w:rPr>
      </w:pPr>
      <w:r>
        <w:rPr>
          <w:rFonts w:asciiTheme="minorHAnsi" w:hAnsiTheme="minorHAnsi" w:cstheme="minorHAnsi"/>
          <w:sz w:val="64"/>
          <w:szCs w:val="64"/>
        </w:rPr>
        <w:br w:type="page"/>
      </w:r>
    </w:p>
    <w:tbl>
      <w:tblPr>
        <w:tblW w:w="10785" w:type="dxa"/>
        <w:tblBorders>
          <w:top w:val="single" w:sz="6" w:space="0" w:color="E7E7E7"/>
          <w:left w:val="single" w:sz="6" w:space="0" w:color="E7E7E7"/>
          <w:bottom w:val="single" w:sz="6" w:space="0" w:color="E7E7E7"/>
          <w:right w:val="single" w:sz="6" w:space="0" w:color="E7E7E7"/>
        </w:tblBorders>
        <w:tblCellMar>
          <w:left w:w="0" w:type="dxa"/>
          <w:right w:w="0" w:type="dxa"/>
        </w:tblCellMar>
        <w:tblLook w:val="04A0" w:firstRow="1" w:lastRow="0" w:firstColumn="1" w:lastColumn="0" w:noHBand="0" w:noVBand="1"/>
        <w:tblDescription w:val=""/>
      </w:tblPr>
      <w:tblGrid>
        <w:gridCol w:w="2030"/>
        <w:gridCol w:w="8755"/>
      </w:tblGrid>
      <w:tr w:rsidR="00DD0253" w:rsidTr="00DD0253">
        <w:trPr>
          <w:trHeight w:val="181"/>
          <w:tblHeader/>
        </w:trPr>
        <w:tc>
          <w:tcPr>
            <w:tcW w:w="0" w:type="auto"/>
            <w:gridSpan w:val="2"/>
            <w:tcBorders>
              <w:top w:val="single" w:sz="6" w:space="0" w:color="DDDDDD"/>
              <w:left w:val="single" w:sz="6" w:space="0" w:color="DDDDDD"/>
              <w:bottom w:val="single" w:sz="6" w:space="0" w:color="DDDDDD"/>
              <w:right w:val="single" w:sz="6" w:space="0" w:color="DDDDDD"/>
            </w:tcBorders>
            <w:shd w:val="clear" w:color="auto" w:fill="E7E7E7"/>
            <w:tcMar>
              <w:top w:w="135" w:type="dxa"/>
              <w:left w:w="360" w:type="dxa"/>
              <w:bottom w:w="135" w:type="dxa"/>
              <w:right w:w="360" w:type="dxa"/>
            </w:tcMar>
            <w:vAlign w:val="center"/>
            <w:hideMark/>
          </w:tcPr>
          <w:p w:rsidR="00DD0253" w:rsidRDefault="00DD0253">
            <w:pPr>
              <w:spacing w:line="270" w:lineRule="atLeast"/>
              <w:rPr>
                <w:b/>
                <w:bCs/>
                <w:color w:val="000000"/>
                <w:sz w:val="18"/>
                <w:szCs w:val="18"/>
              </w:rPr>
            </w:pPr>
            <w:r>
              <w:rPr>
                <w:b/>
                <w:bCs/>
                <w:color w:val="000000"/>
                <w:sz w:val="18"/>
                <w:szCs w:val="18"/>
              </w:rPr>
              <w:lastRenderedPageBreak/>
              <w:t>Types of Fractures (Table 4)</w:t>
            </w:r>
          </w:p>
        </w:tc>
      </w:tr>
      <w:tr w:rsidR="00DD0253" w:rsidTr="00DD0253">
        <w:trPr>
          <w:trHeight w:val="225"/>
          <w:tblHeader/>
        </w:trPr>
        <w:tc>
          <w:tcPr>
            <w:tcW w:w="0" w:type="auto"/>
            <w:tcBorders>
              <w:top w:val="single" w:sz="6" w:space="0" w:color="DDDDDD"/>
              <w:left w:val="single" w:sz="6" w:space="0" w:color="DDDDDD"/>
              <w:bottom w:val="single" w:sz="6" w:space="0" w:color="DDDDDD"/>
              <w:right w:val="single" w:sz="6" w:space="0" w:color="DDDDDD"/>
            </w:tcBorders>
            <w:shd w:val="clear" w:color="auto" w:fill="E7E7E7"/>
            <w:tcMar>
              <w:top w:w="135" w:type="dxa"/>
              <w:left w:w="360" w:type="dxa"/>
              <w:bottom w:w="135" w:type="dxa"/>
              <w:right w:w="360" w:type="dxa"/>
            </w:tcMar>
            <w:vAlign w:val="center"/>
            <w:hideMark/>
          </w:tcPr>
          <w:p w:rsidR="00DD0253" w:rsidRDefault="00DD0253">
            <w:pPr>
              <w:spacing w:line="270" w:lineRule="atLeast"/>
              <w:rPr>
                <w:b/>
                <w:bCs/>
                <w:color w:val="000000"/>
                <w:sz w:val="18"/>
                <w:szCs w:val="18"/>
              </w:rPr>
            </w:pPr>
            <w:r>
              <w:rPr>
                <w:b/>
                <w:bCs/>
                <w:color w:val="000000"/>
                <w:sz w:val="18"/>
                <w:szCs w:val="18"/>
              </w:rPr>
              <w:t>Type of fracture</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35" w:type="dxa"/>
              <w:left w:w="360" w:type="dxa"/>
              <w:bottom w:w="135" w:type="dxa"/>
              <w:right w:w="360" w:type="dxa"/>
            </w:tcMar>
            <w:vAlign w:val="center"/>
            <w:hideMark/>
          </w:tcPr>
          <w:p w:rsidR="00DD0253" w:rsidRDefault="00DD0253">
            <w:pPr>
              <w:spacing w:line="270" w:lineRule="atLeast"/>
              <w:rPr>
                <w:b/>
                <w:bCs/>
                <w:color w:val="000000"/>
                <w:sz w:val="18"/>
                <w:szCs w:val="18"/>
              </w:rPr>
            </w:pPr>
            <w:r>
              <w:rPr>
                <w:b/>
                <w:bCs/>
                <w:color w:val="000000"/>
                <w:sz w:val="18"/>
                <w:szCs w:val="18"/>
              </w:rPr>
              <w:t>Description</w:t>
            </w:r>
          </w:p>
        </w:tc>
      </w:tr>
      <w:tr w:rsidR="00DD0253" w:rsidTr="00DD0253">
        <w:trPr>
          <w:trHeight w:val="225"/>
        </w:trPr>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DD0253" w:rsidRDefault="00DD0253">
            <w:pPr>
              <w:rPr>
                <w:sz w:val="22"/>
                <w:szCs w:val="22"/>
              </w:rPr>
            </w:pPr>
            <w:r>
              <w:rPr>
                <w:sz w:val="22"/>
                <w:szCs w:val="22"/>
              </w:rPr>
              <w:t>Transverse</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DD0253" w:rsidRDefault="00DD0253">
            <w:pPr>
              <w:rPr>
                <w:sz w:val="22"/>
                <w:szCs w:val="22"/>
              </w:rPr>
            </w:pPr>
            <w:r>
              <w:rPr>
                <w:sz w:val="22"/>
                <w:szCs w:val="22"/>
              </w:rPr>
              <w:t>Occurs straight across the long axis of the bone</w:t>
            </w:r>
          </w:p>
        </w:tc>
      </w:tr>
      <w:tr w:rsidR="00DD0253" w:rsidTr="00DD0253">
        <w:trPr>
          <w:trHeight w:val="225"/>
        </w:trPr>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DD0253" w:rsidRDefault="00DD0253">
            <w:pPr>
              <w:rPr>
                <w:sz w:val="22"/>
                <w:szCs w:val="22"/>
              </w:rPr>
            </w:pPr>
            <w:r>
              <w:rPr>
                <w:sz w:val="22"/>
                <w:szCs w:val="22"/>
              </w:rPr>
              <w:t>Oblique</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DD0253" w:rsidRDefault="00DD0253">
            <w:pPr>
              <w:rPr>
                <w:sz w:val="22"/>
                <w:szCs w:val="22"/>
              </w:rPr>
            </w:pPr>
            <w:r>
              <w:rPr>
                <w:sz w:val="22"/>
                <w:szCs w:val="22"/>
              </w:rPr>
              <w:t>Occurs at an angle that is not 90 degrees</w:t>
            </w:r>
          </w:p>
        </w:tc>
      </w:tr>
      <w:tr w:rsidR="00DD0253" w:rsidTr="00DD0253">
        <w:trPr>
          <w:trHeight w:val="225"/>
        </w:trPr>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DD0253" w:rsidRDefault="00DD0253">
            <w:pPr>
              <w:rPr>
                <w:sz w:val="22"/>
                <w:szCs w:val="22"/>
              </w:rPr>
            </w:pPr>
            <w:r>
              <w:rPr>
                <w:sz w:val="22"/>
                <w:szCs w:val="22"/>
              </w:rPr>
              <w:t>Spiral</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DD0253" w:rsidRDefault="00DD0253">
            <w:pPr>
              <w:rPr>
                <w:sz w:val="22"/>
                <w:szCs w:val="22"/>
              </w:rPr>
            </w:pPr>
            <w:r>
              <w:rPr>
                <w:sz w:val="22"/>
                <w:szCs w:val="22"/>
              </w:rPr>
              <w:t>Bone segments are pulled apart as a result of a twisting motion</w:t>
            </w:r>
          </w:p>
        </w:tc>
      </w:tr>
      <w:tr w:rsidR="00DD0253" w:rsidTr="00DD0253">
        <w:trPr>
          <w:trHeight w:val="225"/>
        </w:trPr>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DD0253" w:rsidRDefault="00DD0253">
            <w:pPr>
              <w:rPr>
                <w:sz w:val="22"/>
                <w:szCs w:val="22"/>
              </w:rPr>
            </w:pPr>
            <w:r>
              <w:rPr>
                <w:sz w:val="22"/>
                <w:szCs w:val="22"/>
              </w:rPr>
              <w:t>Comminuted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DD0253" w:rsidRDefault="00DD0253">
            <w:pPr>
              <w:rPr>
                <w:sz w:val="22"/>
                <w:szCs w:val="22"/>
              </w:rPr>
            </w:pPr>
            <w:r>
              <w:rPr>
                <w:sz w:val="22"/>
                <w:szCs w:val="22"/>
              </w:rPr>
              <w:t>Several breaks result in many small pieces between two large segments</w:t>
            </w:r>
          </w:p>
        </w:tc>
      </w:tr>
      <w:tr w:rsidR="00DD0253" w:rsidTr="00DD0253">
        <w:trPr>
          <w:trHeight w:val="225"/>
        </w:trPr>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DD0253" w:rsidRDefault="00DD0253">
            <w:pPr>
              <w:rPr>
                <w:sz w:val="22"/>
                <w:szCs w:val="22"/>
              </w:rPr>
            </w:pPr>
            <w:r>
              <w:rPr>
                <w:sz w:val="22"/>
                <w:szCs w:val="22"/>
              </w:rPr>
              <w:t>Impacted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DD0253" w:rsidRDefault="00DD0253">
            <w:pPr>
              <w:rPr>
                <w:sz w:val="22"/>
                <w:szCs w:val="22"/>
              </w:rPr>
            </w:pPr>
            <w:r>
              <w:rPr>
                <w:sz w:val="22"/>
                <w:szCs w:val="22"/>
              </w:rPr>
              <w:t>One fragment is driven into the other, usually as a result of compression</w:t>
            </w:r>
          </w:p>
        </w:tc>
      </w:tr>
      <w:tr w:rsidR="00DD0253" w:rsidTr="00DD0253">
        <w:trPr>
          <w:trHeight w:val="225"/>
        </w:trPr>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DD0253" w:rsidRDefault="00DD0253">
            <w:pPr>
              <w:rPr>
                <w:sz w:val="22"/>
                <w:szCs w:val="22"/>
              </w:rPr>
            </w:pPr>
            <w:r>
              <w:rPr>
                <w:sz w:val="22"/>
                <w:szCs w:val="22"/>
              </w:rPr>
              <w:t>Greenstick</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DD0253" w:rsidRDefault="00DD0253">
            <w:pPr>
              <w:rPr>
                <w:sz w:val="22"/>
                <w:szCs w:val="22"/>
              </w:rPr>
            </w:pPr>
            <w:r>
              <w:rPr>
                <w:sz w:val="22"/>
                <w:szCs w:val="22"/>
              </w:rPr>
              <w:t>A partial fracture in which only one side of the bone is broken, often occurs in the young</w:t>
            </w:r>
          </w:p>
        </w:tc>
      </w:tr>
    </w:tbl>
    <w:p w:rsidR="00DD0253" w:rsidRDefault="00DD0253" w:rsidP="00DD0253">
      <w:pPr>
        <w:rPr>
          <w:vanish/>
        </w:rPr>
      </w:pPr>
    </w:p>
    <w:tbl>
      <w:tblPr>
        <w:tblW w:w="10785" w:type="dxa"/>
        <w:tblBorders>
          <w:top w:val="single" w:sz="6" w:space="0" w:color="E7E7E7"/>
          <w:left w:val="single" w:sz="6" w:space="0" w:color="E7E7E7"/>
          <w:bottom w:val="single" w:sz="6" w:space="0" w:color="E7E7E7"/>
          <w:right w:val="single" w:sz="6" w:space="0" w:color="E7E7E7"/>
        </w:tblBorders>
        <w:shd w:val="clear" w:color="auto" w:fill="FFFFFF"/>
        <w:tblCellMar>
          <w:left w:w="0" w:type="dxa"/>
          <w:right w:w="0" w:type="dxa"/>
        </w:tblCellMar>
        <w:tblLook w:val="04A0" w:firstRow="1" w:lastRow="0" w:firstColumn="1" w:lastColumn="0" w:noHBand="0" w:noVBand="1"/>
        <w:tblDescription w:val=""/>
      </w:tblPr>
      <w:tblGrid>
        <w:gridCol w:w="2636"/>
        <w:gridCol w:w="8149"/>
      </w:tblGrid>
      <w:tr w:rsidR="00DD0253" w:rsidTr="00DD0253">
        <w:trPr>
          <w:trHeight w:val="225"/>
        </w:trPr>
        <w:tc>
          <w:tcPr>
            <w:tcW w:w="0" w:type="auto"/>
            <w:tcBorders>
              <w:top w:val="single" w:sz="6" w:space="0" w:color="DDDDDD"/>
              <w:left w:val="single" w:sz="6" w:space="0" w:color="DDDDDD"/>
              <w:bottom w:val="single" w:sz="6" w:space="0" w:color="DDDDDD"/>
              <w:right w:val="single" w:sz="6" w:space="0" w:color="DDDDDD"/>
            </w:tcBorders>
            <w:shd w:val="clear" w:color="auto" w:fill="E7E7E7"/>
            <w:tcMar>
              <w:top w:w="135" w:type="dxa"/>
              <w:left w:w="360" w:type="dxa"/>
              <w:bottom w:w="135" w:type="dxa"/>
              <w:right w:w="360" w:type="dxa"/>
            </w:tcMar>
            <w:vAlign w:val="center"/>
            <w:hideMark/>
          </w:tcPr>
          <w:p w:rsidR="00DD0253" w:rsidRDefault="00DD0253">
            <w:pPr>
              <w:spacing w:line="270" w:lineRule="atLeast"/>
              <w:rPr>
                <w:rFonts w:ascii="Georgia" w:hAnsi="Georgia"/>
                <w:b/>
                <w:bCs/>
                <w:color w:val="000000"/>
                <w:sz w:val="18"/>
                <w:szCs w:val="18"/>
              </w:rPr>
            </w:pPr>
            <w:r>
              <w:rPr>
                <w:rStyle w:val="Strong"/>
                <w:rFonts w:ascii="Georgia" w:hAnsi="Georgia"/>
                <w:color w:val="000000"/>
                <w:sz w:val="18"/>
                <w:szCs w:val="18"/>
                <w:bdr w:val="none" w:sz="0" w:space="0" w:color="auto" w:frame="1"/>
              </w:rPr>
              <w:t>Type of Fracture</w:t>
            </w:r>
          </w:p>
        </w:tc>
        <w:tc>
          <w:tcPr>
            <w:tcW w:w="0" w:type="auto"/>
            <w:tcBorders>
              <w:top w:val="single" w:sz="6" w:space="0" w:color="DDDDDD"/>
              <w:left w:val="single" w:sz="6" w:space="0" w:color="DDDDDD"/>
              <w:bottom w:val="single" w:sz="6" w:space="0" w:color="DDDDDD"/>
              <w:right w:val="single" w:sz="6" w:space="0" w:color="DDDDDD"/>
            </w:tcBorders>
            <w:shd w:val="clear" w:color="auto" w:fill="E7E7E7"/>
            <w:tcMar>
              <w:top w:w="135" w:type="dxa"/>
              <w:left w:w="360" w:type="dxa"/>
              <w:bottom w:w="135" w:type="dxa"/>
              <w:right w:w="360" w:type="dxa"/>
            </w:tcMar>
            <w:vAlign w:val="center"/>
            <w:hideMark/>
          </w:tcPr>
          <w:p w:rsidR="00DD0253" w:rsidRDefault="00DD0253">
            <w:pPr>
              <w:spacing w:line="270" w:lineRule="atLeast"/>
              <w:rPr>
                <w:rFonts w:ascii="Georgia" w:hAnsi="Georgia"/>
                <w:b/>
                <w:bCs/>
                <w:color w:val="000000"/>
                <w:sz w:val="18"/>
                <w:szCs w:val="18"/>
              </w:rPr>
            </w:pPr>
            <w:r>
              <w:rPr>
                <w:rStyle w:val="Strong"/>
                <w:rFonts w:ascii="Georgia" w:hAnsi="Georgia"/>
                <w:color w:val="000000"/>
                <w:sz w:val="18"/>
                <w:szCs w:val="18"/>
                <w:bdr w:val="none" w:sz="0" w:space="0" w:color="auto" w:frame="1"/>
              </w:rPr>
              <w:t>Description</w:t>
            </w:r>
          </w:p>
        </w:tc>
      </w:tr>
      <w:tr w:rsidR="00DD0253" w:rsidTr="00DD0253">
        <w:trPr>
          <w:trHeight w:val="225"/>
        </w:trPr>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DD0253" w:rsidRDefault="00DD0253">
            <w:pPr>
              <w:rPr>
                <w:rFonts w:ascii="Georgia" w:hAnsi="Georgia"/>
                <w:color w:val="000000"/>
                <w:sz w:val="22"/>
                <w:szCs w:val="22"/>
              </w:rPr>
            </w:pPr>
            <w:r>
              <w:rPr>
                <w:rStyle w:val="Strong"/>
                <w:rFonts w:ascii="Georgia" w:hAnsi="Georgia"/>
                <w:color w:val="000000"/>
                <w:sz w:val="22"/>
                <w:szCs w:val="22"/>
                <w:bdr w:val="none" w:sz="0" w:space="0" w:color="auto" w:frame="1"/>
              </w:rPr>
              <w:t>Open (or compound)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DD0253" w:rsidRDefault="00DD0253">
            <w:pPr>
              <w:rPr>
                <w:rFonts w:ascii="Georgia" w:hAnsi="Georgia"/>
                <w:color w:val="000000"/>
                <w:sz w:val="22"/>
                <w:szCs w:val="22"/>
              </w:rPr>
            </w:pPr>
            <w:r>
              <w:rPr>
                <w:rStyle w:val="Strong"/>
                <w:rFonts w:ascii="Georgia" w:hAnsi="Georgia"/>
                <w:color w:val="000000"/>
                <w:sz w:val="22"/>
                <w:szCs w:val="22"/>
                <w:bdr w:val="none" w:sz="0" w:space="0" w:color="auto" w:frame="1"/>
              </w:rPr>
              <w:t>A fracture in which at least one end of the broken bone tears through the skin; carries a high risk of infection</w:t>
            </w:r>
          </w:p>
        </w:tc>
      </w:tr>
      <w:tr w:rsidR="00DD0253" w:rsidTr="00DD0253">
        <w:trPr>
          <w:trHeight w:val="225"/>
        </w:trPr>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DD0253" w:rsidRDefault="00DD0253">
            <w:pPr>
              <w:rPr>
                <w:rFonts w:ascii="Georgia" w:hAnsi="Georgia"/>
                <w:color w:val="000000"/>
                <w:sz w:val="22"/>
                <w:szCs w:val="22"/>
              </w:rPr>
            </w:pPr>
            <w:r>
              <w:rPr>
                <w:rStyle w:val="Strong"/>
                <w:rFonts w:ascii="Georgia" w:hAnsi="Georgia"/>
                <w:color w:val="000000"/>
                <w:sz w:val="22"/>
                <w:szCs w:val="22"/>
                <w:bdr w:val="none" w:sz="0" w:space="0" w:color="auto" w:frame="1"/>
              </w:rPr>
              <w:t>Closed (or simple)</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DD0253" w:rsidRDefault="00DD0253">
            <w:pPr>
              <w:rPr>
                <w:rFonts w:ascii="Georgia" w:hAnsi="Georgia"/>
                <w:color w:val="000000"/>
                <w:sz w:val="22"/>
                <w:szCs w:val="22"/>
              </w:rPr>
            </w:pPr>
            <w:r>
              <w:rPr>
                <w:rStyle w:val="Strong"/>
                <w:rFonts w:ascii="Georgia" w:hAnsi="Georgia"/>
                <w:color w:val="000000"/>
                <w:sz w:val="22"/>
                <w:szCs w:val="22"/>
                <w:bdr w:val="none" w:sz="0" w:space="0" w:color="auto" w:frame="1"/>
              </w:rPr>
              <w:t>A fracture in which the skin remains intact</w:t>
            </w:r>
          </w:p>
        </w:tc>
      </w:tr>
    </w:tbl>
    <w:p w:rsidR="00DD0253" w:rsidRDefault="00DD0253">
      <w:pPr>
        <w:rPr>
          <w:rFonts w:asciiTheme="minorHAnsi" w:hAnsiTheme="minorHAnsi" w:cstheme="minorHAnsi"/>
          <w:sz w:val="64"/>
          <w:szCs w:val="64"/>
        </w:rPr>
      </w:pPr>
    </w:p>
    <w:p w:rsidR="00DD0253" w:rsidRDefault="00DD0253">
      <w:pPr>
        <w:rPr>
          <w:rFonts w:asciiTheme="minorHAnsi" w:hAnsiTheme="minorHAnsi" w:cstheme="minorHAnsi"/>
          <w:sz w:val="64"/>
          <w:szCs w:val="64"/>
        </w:rPr>
      </w:pPr>
      <w:r>
        <w:rPr>
          <w:rFonts w:asciiTheme="minorHAnsi" w:hAnsiTheme="minorHAnsi" w:cstheme="minorHAnsi"/>
          <w:sz w:val="64"/>
          <w:szCs w:val="64"/>
        </w:rPr>
        <w:br w:type="page"/>
      </w:r>
    </w:p>
    <w:p w:rsidR="00DD0253" w:rsidRDefault="00DD0253">
      <w:pPr>
        <w:rPr>
          <w:rFonts w:asciiTheme="minorHAnsi" w:hAnsiTheme="minorHAnsi" w:cstheme="minorHAnsi"/>
          <w:sz w:val="64"/>
          <w:szCs w:val="64"/>
        </w:rPr>
      </w:pPr>
      <w:r>
        <w:rPr>
          <w:noProof/>
        </w:rPr>
        <w:lastRenderedPageBreak/>
        <w:drawing>
          <wp:inline distT="0" distB="0" distL="0" distR="0">
            <wp:extent cx="5486400" cy="2121946"/>
            <wp:effectExtent l="0" t="0" r="0" b="0"/>
            <wp:docPr id="62" name="Picture 62" descr="This illustration shows a left to right progression of bone repair. The break is shown in the leftmost image, where the femur has an oblique, closed fracture in the middle of its shaft. The next image magnifies the break, showing that blood has filled the area between the broken bones. Blood has also filled in around the lateral and medial sides of the break. The influx of blood causes the broken area to swell, creating a hematoma. In the next image, the hematoma has been replaced with an external callus between the two broken ends. Within the internal callus, the blood vessels have reconnected and some spongy bone has regenerated in the gap between the two bone halves. In the next image, spongy bone has completely regenerated, connecting the two broken ends, referred to as the bony callus. The external callus still remains on the lateral and medial sides of the break, as the compact bone has not yet regenerated. In the final image, the compact bone has fully regenerated, encapsulating the bony callus and completely reconnecting the two bone halves. The bone has a slight bulge at the location of the healed fracture, which is clearly shown in the final image, which shows a zoomed out image of the completely healed fem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his illustration shows a left to right progression of bone repair. The break is shown in the leftmost image, where the femur has an oblique, closed fracture in the middle of its shaft. The next image magnifies the break, showing that blood has filled the area between the broken bones. Blood has also filled in around the lateral and medial sides of the break. The influx of blood causes the broken area to swell, creating a hematoma. In the next image, the hematoma has been replaced with an external callus between the two broken ends. Within the internal callus, the blood vessels have reconnected and some spongy bone has regenerated in the gap between the two bone halves. In the next image, spongy bone has completely regenerated, connecting the two broken ends, referred to as the bony callus. The external callus still remains on the lateral and medial sides of the break, as the compact bone has not yet regenerated. In the final image, the compact bone has fully regenerated, encapsulating the bony callus and completely reconnecting the two bone halves. The bone has a slight bulge at the location of the healed fracture, which is clearly shown in the final image, which shows a zoomed out image of the completely healed femu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6400" cy="2121946"/>
                    </a:xfrm>
                    <a:prstGeom prst="rect">
                      <a:avLst/>
                    </a:prstGeom>
                    <a:noFill/>
                    <a:ln>
                      <a:noFill/>
                    </a:ln>
                  </pic:spPr>
                </pic:pic>
              </a:graphicData>
            </a:graphic>
          </wp:inline>
        </w:drawing>
      </w:r>
    </w:p>
    <w:p w:rsidR="00DD0253" w:rsidRDefault="00DD0253">
      <w:pPr>
        <w:rPr>
          <w:rFonts w:asciiTheme="minorHAnsi" w:hAnsiTheme="minorHAnsi" w:cstheme="minorHAnsi"/>
          <w:sz w:val="64"/>
          <w:szCs w:val="64"/>
        </w:rPr>
      </w:pPr>
    </w:p>
    <w:p w:rsidR="00DD0253" w:rsidRDefault="00DD0253">
      <w:pPr>
        <w:rPr>
          <w:rFonts w:asciiTheme="minorHAnsi" w:hAnsiTheme="minorHAnsi" w:cstheme="minorHAnsi"/>
          <w:sz w:val="64"/>
          <w:szCs w:val="64"/>
        </w:rPr>
      </w:pPr>
      <w:r>
        <w:rPr>
          <w:rStyle w:val="Strong"/>
          <w:rFonts w:ascii="Georgia" w:hAnsi="Georgia"/>
          <w:color w:val="000000"/>
          <w:sz w:val="19"/>
          <w:szCs w:val="19"/>
          <w:bdr w:val="none" w:sz="0" w:space="0" w:color="auto" w:frame="1"/>
          <w:shd w:val="clear" w:color="auto" w:fill="FFFFFF"/>
        </w:rPr>
        <w:t>Figure 6.52 – Stages in Fracture Repair:</w:t>
      </w:r>
      <w:r>
        <w:rPr>
          <w:rFonts w:ascii="Georgia" w:hAnsi="Georgia"/>
          <w:color w:val="000000"/>
          <w:sz w:val="19"/>
          <w:szCs w:val="19"/>
          <w:shd w:val="clear" w:color="auto" w:fill="FFFFFF"/>
        </w:rPr>
        <w:t> The healing of a bone fracture follows a series of progressive steps: (a) Broken blood vessels leak blood that clots into a fracture hematoma. (b) Internal and external calluses form made of cartilage and bone. (c) Cartilage of the calluses is gradually eroded and replaced by trabecular bone, forming the hard callus. (d) Remodeling occurs to replace immature bone with mature bone.</w:t>
      </w:r>
      <w:r>
        <w:rPr>
          <w:rFonts w:asciiTheme="minorHAnsi" w:hAnsiTheme="minorHAnsi" w:cstheme="minorHAnsi"/>
          <w:sz w:val="64"/>
          <w:szCs w:val="64"/>
        </w:rPr>
        <w:br w:type="page"/>
      </w:r>
    </w:p>
    <w:p w:rsidR="00DD0253" w:rsidRDefault="00DD0253">
      <w:pPr>
        <w:rPr>
          <w:rFonts w:asciiTheme="minorHAnsi" w:hAnsiTheme="minorHAnsi" w:cstheme="minorHAnsi"/>
          <w:sz w:val="64"/>
          <w:szCs w:val="64"/>
        </w:rPr>
      </w:pPr>
      <w:r>
        <w:rPr>
          <w:rFonts w:asciiTheme="minorHAnsi" w:hAnsiTheme="minorHAnsi" w:cstheme="minorHAnsi"/>
          <w:sz w:val="64"/>
          <w:szCs w:val="64"/>
        </w:rPr>
        <w:lastRenderedPageBreak/>
        <w:t>Healthy Bones</w:t>
      </w:r>
    </w:p>
    <w:p w:rsidR="00DD0253" w:rsidRDefault="00DD0253">
      <w:pPr>
        <w:rPr>
          <w:rFonts w:asciiTheme="minorHAnsi" w:hAnsiTheme="minorHAnsi" w:cstheme="minorHAnsi"/>
          <w:sz w:val="64"/>
          <w:szCs w:val="64"/>
        </w:rPr>
      </w:pPr>
      <w:r>
        <w:rPr>
          <w:rFonts w:asciiTheme="minorHAnsi" w:hAnsiTheme="minorHAnsi" w:cstheme="minorHAnsi"/>
          <w:sz w:val="64"/>
          <w:szCs w:val="64"/>
        </w:rPr>
        <w:br w:type="page"/>
      </w:r>
    </w:p>
    <w:p w:rsidR="00DD0253" w:rsidRDefault="00DD0253">
      <w:pPr>
        <w:rPr>
          <w:rFonts w:asciiTheme="minorHAnsi" w:hAnsiTheme="minorHAnsi" w:cstheme="minorHAnsi"/>
          <w:sz w:val="64"/>
          <w:szCs w:val="64"/>
        </w:rPr>
      </w:pPr>
      <w:r>
        <w:rPr>
          <w:noProof/>
        </w:rPr>
        <w:lastRenderedPageBreak/>
        <w:drawing>
          <wp:inline distT="0" distB="0" distL="0" distR="0">
            <wp:extent cx="5486400" cy="7206018"/>
            <wp:effectExtent l="0" t="0" r="0" b="0"/>
            <wp:docPr id="63" name="Picture 63" descr="This illustration resembles a flow chart. It begins with the sun shining on a silhouette of a man. One arrow leads from the sun to the manâs skin, stating that Vitamin D is manufactured in the skin after the absorption of sunlight. Another arrow points into the manâs mouth and states that Vitamin D is ingested through food and supplements, absorbed by the intestines, and carried to the liver via the bloodstream. A call out of the liver states that, in the liver, Vitamin D turns into 25 (OH) D, also known as calcidiol, the primary form of circulating Vitamin D. Another callout of the right kidney states that, in the kidneys, Vitamin D is transformed into 1 25 OH (D2). This is also known as calcitriol, a biologically active form of Vitamin D. The synthesis of Vitamin D facilitates calcium absorption from the small intestine, calcium re-absorption from the kidneys, and the rebuilding of bone tiss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his illustration resembles a flow chart. It begins with the sun shining on a silhouette of a man. One arrow leads from the sun to the manâs skin, stating that Vitamin D is manufactured in the skin after the absorption of sunlight. Another arrow points into the manâs mouth and states that Vitamin D is ingested through food and supplements, absorbed by the intestines, and carried to the liver via the bloodstream. A call out of the liver states that, in the liver, Vitamin D turns into 25 (OH) D, also known as calcidiol, the primary form of circulating Vitamin D. Another callout of the right kidney states that, in the kidneys, Vitamin D is transformed into 1 25 OH (D2). This is also known as calcitriol, a biologically active form of Vitamin D. The synthesis of Vitamin D facilitates calcium absorption from the small intestine, calcium re-absorption from the kidneys, and the rebuilding of bone tissu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86400" cy="7206018"/>
                    </a:xfrm>
                    <a:prstGeom prst="rect">
                      <a:avLst/>
                    </a:prstGeom>
                    <a:noFill/>
                    <a:ln>
                      <a:noFill/>
                    </a:ln>
                  </pic:spPr>
                </pic:pic>
              </a:graphicData>
            </a:graphic>
          </wp:inline>
        </w:drawing>
      </w:r>
    </w:p>
    <w:p w:rsidR="00DD0253" w:rsidRDefault="00DD0253">
      <w:pPr>
        <w:rPr>
          <w:rFonts w:asciiTheme="minorHAnsi" w:hAnsiTheme="minorHAnsi" w:cstheme="minorHAnsi"/>
          <w:sz w:val="64"/>
          <w:szCs w:val="64"/>
        </w:rPr>
      </w:pPr>
      <w:r>
        <w:rPr>
          <w:rFonts w:asciiTheme="minorHAnsi" w:hAnsiTheme="minorHAnsi" w:cstheme="minorHAnsi"/>
          <w:sz w:val="64"/>
          <w:szCs w:val="64"/>
        </w:rPr>
        <w:br w:type="page"/>
      </w:r>
    </w:p>
    <w:tbl>
      <w:tblPr>
        <w:tblW w:w="10785" w:type="dxa"/>
        <w:tblBorders>
          <w:top w:val="single" w:sz="6" w:space="0" w:color="E7E7E7"/>
          <w:left w:val="single" w:sz="6" w:space="0" w:color="E7E7E7"/>
          <w:bottom w:val="single" w:sz="6" w:space="0" w:color="E7E7E7"/>
          <w:right w:val="single" w:sz="6" w:space="0" w:color="E7E7E7"/>
        </w:tblBorders>
        <w:shd w:val="clear" w:color="auto" w:fill="FFFFFF"/>
        <w:tblCellMar>
          <w:left w:w="0" w:type="dxa"/>
          <w:right w:w="0" w:type="dxa"/>
        </w:tblCellMar>
        <w:tblLook w:val="04A0" w:firstRow="1" w:lastRow="0" w:firstColumn="1" w:lastColumn="0" w:noHBand="0" w:noVBand="1"/>
        <w:tblDescription w:val=""/>
      </w:tblPr>
      <w:tblGrid>
        <w:gridCol w:w="2325"/>
        <w:gridCol w:w="8460"/>
      </w:tblGrid>
      <w:tr w:rsidR="00A852CB" w:rsidTr="00A852CB">
        <w:trPr>
          <w:tblHeader/>
        </w:trPr>
        <w:tc>
          <w:tcPr>
            <w:tcW w:w="0" w:type="auto"/>
            <w:gridSpan w:val="2"/>
            <w:tcBorders>
              <w:top w:val="single" w:sz="6" w:space="0" w:color="DDDDDD"/>
              <w:left w:val="single" w:sz="6" w:space="0" w:color="DDDDDD"/>
              <w:bottom w:val="single" w:sz="6" w:space="0" w:color="DDDDDD"/>
              <w:right w:val="single" w:sz="6" w:space="0" w:color="DDDDDD"/>
            </w:tcBorders>
            <w:shd w:val="clear" w:color="auto" w:fill="E7E7E7"/>
            <w:tcMar>
              <w:top w:w="135" w:type="dxa"/>
              <w:left w:w="360" w:type="dxa"/>
              <w:bottom w:w="135" w:type="dxa"/>
              <w:right w:w="360" w:type="dxa"/>
            </w:tcMar>
            <w:vAlign w:val="center"/>
            <w:hideMark/>
          </w:tcPr>
          <w:p w:rsidR="00A852CB" w:rsidRDefault="00A852CB">
            <w:pPr>
              <w:spacing w:line="270" w:lineRule="atLeast"/>
              <w:rPr>
                <w:rFonts w:ascii="Georgia" w:hAnsi="Georgia"/>
                <w:b/>
                <w:bCs/>
                <w:color w:val="000000"/>
                <w:sz w:val="18"/>
                <w:szCs w:val="18"/>
              </w:rPr>
            </w:pPr>
            <w:r>
              <w:rPr>
                <w:rFonts w:ascii="Georgia" w:hAnsi="Georgia"/>
                <w:b/>
                <w:bCs/>
                <w:color w:val="000000"/>
                <w:sz w:val="18"/>
                <w:szCs w:val="18"/>
              </w:rPr>
              <w:lastRenderedPageBreak/>
              <w:t>Nutrients and Bone Health (Table 5)</w:t>
            </w:r>
          </w:p>
        </w:tc>
      </w:tr>
      <w:tr w:rsidR="00A852CB" w:rsidTr="00A852CB">
        <w:trPr>
          <w:tblHeader/>
        </w:trPr>
        <w:tc>
          <w:tcPr>
            <w:tcW w:w="0" w:type="auto"/>
            <w:tcBorders>
              <w:top w:val="single" w:sz="6" w:space="0" w:color="DDDDDD"/>
              <w:left w:val="single" w:sz="6" w:space="0" w:color="DDDDDD"/>
              <w:bottom w:val="single" w:sz="6" w:space="0" w:color="DDDDDD"/>
              <w:right w:val="single" w:sz="6" w:space="0" w:color="DDDDDD"/>
            </w:tcBorders>
            <w:shd w:val="clear" w:color="auto" w:fill="E7E7E7"/>
            <w:tcMar>
              <w:top w:w="135" w:type="dxa"/>
              <w:left w:w="360" w:type="dxa"/>
              <w:bottom w:w="135" w:type="dxa"/>
              <w:right w:w="360" w:type="dxa"/>
            </w:tcMar>
            <w:vAlign w:val="center"/>
            <w:hideMark/>
          </w:tcPr>
          <w:p w:rsidR="00A852CB" w:rsidRDefault="00A852CB">
            <w:pPr>
              <w:spacing w:line="270" w:lineRule="atLeast"/>
              <w:rPr>
                <w:rFonts w:ascii="Georgia" w:hAnsi="Georgia"/>
                <w:b/>
                <w:bCs/>
                <w:color w:val="000000"/>
                <w:sz w:val="18"/>
                <w:szCs w:val="18"/>
              </w:rPr>
            </w:pPr>
            <w:r>
              <w:rPr>
                <w:rFonts w:ascii="Georgia" w:hAnsi="Georgia"/>
                <w:b/>
                <w:bCs/>
                <w:color w:val="000000"/>
                <w:sz w:val="18"/>
                <w:szCs w:val="18"/>
              </w:rPr>
              <w:t>Nutrient</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35" w:type="dxa"/>
              <w:left w:w="360" w:type="dxa"/>
              <w:bottom w:w="135" w:type="dxa"/>
              <w:right w:w="360" w:type="dxa"/>
            </w:tcMar>
            <w:vAlign w:val="center"/>
            <w:hideMark/>
          </w:tcPr>
          <w:p w:rsidR="00A852CB" w:rsidRDefault="00A852CB">
            <w:pPr>
              <w:spacing w:line="270" w:lineRule="atLeast"/>
              <w:rPr>
                <w:rFonts w:ascii="Georgia" w:hAnsi="Georgia"/>
                <w:b/>
                <w:bCs/>
                <w:color w:val="000000"/>
                <w:sz w:val="18"/>
                <w:szCs w:val="18"/>
              </w:rPr>
            </w:pPr>
            <w:r>
              <w:rPr>
                <w:rFonts w:ascii="Georgia" w:hAnsi="Georgia"/>
                <w:b/>
                <w:bCs/>
                <w:color w:val="000000"/>
                <w:sz w:val="18"/>
                <w:szCs w:val="18"/>
              </w:rPr>
              <w:t>Role in bone health</w:t>
            </w:r>
          </w:p>
        </w:tc>
      </w:tr>
      <w:tr w:rsidR="00A852CB" w:rsidTr="00A852CB">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A852CB" w:rsidRDefault="00A852CB">
            <w:pPr>
              <w:rPr>
                <w:rFonts w:ascii="Georgia" w:hAnsi="Georgia"/>
                <w:color w:val="000000"/>
                <w:sz w:val="22"/>
                <w:szCs w:val="22"/>
              </w:rPr>
            </w:pPr>
            <w:r>
              <w:rPr>
                <w:rFonts w:ascii="Georgia" w:hAnsi="Georgia"/>
                <w:color w:val="000000"/>
                <w:sz w:val="22"/>
                <w:szCs w:val="22"/>
              </w:rPr>
              <w:t>Calcium</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A852CB" w:rsidRDefault="00A852CB">
            <w:pPr>
              <w:rPr>
                <w:rFonts w:ascii="Georgia" w:hAnsi="Georgia"/>
                <w:color w:val="000000"/>
                <w:sz w:val="22"/>
                <w:szCs w:val="22"/>
              </w:rPr>
            </w:pPr>
            <w:r>
              <w:rPr>
                <w:rFonts w:ascii="Georgia" w:hAnsi="Georgia"/>
                <w:color w:val="000000"/>
                <w:sz w:val="22"/>
                <w:szCs w:val="22"/>
              </w:rPr>
              <w:t>Needed to make calcium phosphate and calcium carbonate, which form the hydroxyapatite crystals that give bone its hardness</w:t>
            </w:r>
          </w:p>
        </w:tc>
      </w:tr>
      <w:tr w:rsidR="00A852CB" w:rsidTr="00A852CB">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A852CB" w:rsidRDefault="00A852CB">
            <w:pPr>
              <w:rPr>
                <w:rFonts w:ascii="Georgia" w:hAnsi="Georgia"/>
                <w:color w:val="000000"/>
                <w:sz w:val="22"/>
                <w:szCs w:val="22"/>
              </w:rPr>
            </w:pPr>
            <w:r>
              <w:rPr>
                <w:rFonts w:ascii="Georgia" w:hAnsi="Georgia"/>
                <w:color w:val="000000"/>
                <w:sz w:val="22"/>
                <w:szCs w:val="22"/>
              </w:rPr>
              <w:t>Vitamin 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A852CB" w:rsidRDefault="00A852CB">
            <w:pPr>
              <w:rPr>
                <w:rFonts w:ascii="Georgia" w:hAnsi="Georgia"/>
                <w:color w:val="000000"/>
                <w:sz w:val="22"/>
                <w:szCs w:val="22"/>
              </w:rPr>
            </w:pPr>
            <w:r>
              <w:rPr>
                <w:rFonts w:ascii="Georgia" w:hAnsi="Georgia"/>
                <w:color w:val="000000"/>
                <w:sz w:val="22"/>
                <w:szCs w:val="22"/>
              </w:rPr>
              <w:t>Needed for calcium absorption</w:t>
            </w:r>
          </w:p>
        </w:tc>
      </w:tr>
      <w:tr w:rsidR="00A852CB" w:rsidTr="00A852CB">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A852CB" w:rsidRDefault="00A852CB">
            <w:pPr>
              <w:rPr>
                <w:rFonts w:ascii="Georgia" w:hAnsi="Georgia"/>
                <w:color w:val="000000"/>
                <w:sz w:val="22"/>
                <w:szCs w:val="22"/>
              </w:rPr>
            </w:pPr>
            <w:r>
              <w:rPr>
                <w:rFonts w:ascii="Georgia" w:hAnsi="Georgia"/>
                <w:color w:val="000000"/>
                <w:sz w:val="22"/>
                <w:szCs w:val="22"/>
              </w:rPr>
              <w:t>Vitamin K</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A852CB" w:rsidRDefault="00A852CB">
            <w:pPr>
              <w:rPr>
                <w:rFonts w:ascii="Georgia" w:hAnsi="Georgia"/>
                <w:color w:val="000000"/>
                <w:sz w:val="22"/>
                <w:szCs w:val="22"/>
              </w:rPr>
            </w:pPr>
            <w:r>
              <w:rPr>
                <w:rFonts w:ascii="Georgia" w:hAnsi="Georgia"/>
                <w:color w:val="000000"/>
                <w:sz w:val="22"/>
                <w:szCs w:val="22"/>
              </w:rPr>
              <w:t>Supports bone mineralization; may have synergistic effect with vitamin D</w:t>
            </w:r>
          </w:p>
        </w:tc>
      </w:tr>
      <w:tr w:rsidR="00A852CB" w:rsidTr="00A852CB">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A852CB" w:rsidRDefault="00A852CB">
            <w:pPr>
              <w:rPr>
                <w:rFonts w:ascii="Georgia" w:hAnsi="Georgia"/>
                <w:color w:val="000000"/>
                <w:sz w:val="22"/>
                <w:szCs w:val="22"/>
              </w:rPr>
            </w:pPr>
            <w:r>
              <w:rPr>
                <w:rFonts w:ascii="Georgia" w:hAnsi="Georgia"/>
                <w:color w:val="000000"/>
                <w:sz w:val="22"/>
                <w:szCs w:val="22"/>
              </w:rPr>
              <w:t>Magnesium</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A852CB" w:rsidRDefault="00A852CB">
            <w:pPr>
              <w:rPr>
                <w:rFonts w:ascii="Georgia" w:hAnsi="Georgia"/>
                <w:color w:val="000000"/>
                <w:sz w:val="22"/>
                <w:szCs w:val="22"/>
              </w:rPr>
            </w:pPr>
            <w:r>
              <w:rPr>
                <w:rFonts w:ascii="Georgia" w:hAnsi="Georgia"/>
                <w:color w:val="000000"/>
                <w:sz w:val="22"/>
                <w:szCs w:val="22"/>
              </w:rPr>
              <w:t>Structural component of bone</w:t>
            </w:r>
          </w:p>
        </w:tc>
      </w:tr>
      <w:tr w:rsidR="00A852CB" w:rsidTr="00A852CB">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A852CB" w:rsidRDefault="00A852CB">
            <w:pPr>
              <w:rPr>
                <w:rFonts w:ascii="Georgia" w:hAnsi="Georgia"/>
                <w:color w:val="000000"/>
                <w:sz w:val="22"/>
                <w:szCs w:val="22"/>
              </w:rPr>
            </w:pPr>
            <w:r>
              <w:rPr>
                <w:rFonts w:ascii="Georgia" w:hAnsi="Georgia"/>
                <w:color w:val="000000"/>
                <w:sz w:val="22"/>
                <w:szCs w:val="22"/>
              </w:rPr>
              <w:t>Fluoride</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A852CB" w:rsidRDefault="00A852CB">
            <w:pPr>
              <w:rPr>
                <w:rFonts w:ascii="Georgia" w:hAnsi="Georgia"/>
                <w:color w:val="000000"/>
                <w:sz w:val="22"/>
                <w:szCs w:val="22"/>
              </w:rPr>
            </w:pPr>
            <w:r>
              <w:rPr>
                <w:rFonts w:ascii="Georgia" w:hAnsi="Georgia"/>
                <w:color w:val="000000"/>
                <w:sz w:val="22"/>
                <w:szCs w:val="22"/>
              </w:rPr>
              <w:t>Structural component of bone</w:t>
            </w:r>
          </w:p>
        </w:tc>
      </w:tr>
      <w:tr w:rsidR="00A852CB" w:rsidTr="00A852CB">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A852CB" w:rsidRDefault="00A852CB">
            <w:pPr>
              <w:rPr>
                <w:rFonts w:ascii="Georgia" w:hAnsi="Georgia"/>
                <w:color w:val="000000"/>
                <w:sz w:val="22"/>
                <w:szCs w:val="22"/>
              </w:rPr>
            </w:pPr>
            <w:r>
              <w:rPr>
                <w:rFonts w:ascii="Georgia" w:hAnsi="Georgia"/>
                <w:color w:val="000000"/>
                <w:sz w:val="22"/>
                <w:szCs w:val="22"/>
              </w:rPr>
              <w:t>Omega-3 fatty acids</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A852CB" w:rsidRDefault="00A852CB">
            <w:pPr>
              <w:rPr>
                <w:rFonts w:ascii="Georgia" w:hAnsi="Georgia"/>
                <w:color w:val="000000"/>
                <w:sz w:val="22"/>
                <w:szCs w:val="22"/>
              </w:rPr>
            </w:pPr>
            <w:r>
              <w:rPr>
                <w:rFonts w:ascii="Georgia" w:hAnsi="Georgia"/>
                <w:color w:val="000000"/>
                <w:sz w:val="22"/>
                <w:szCs w:val="22"/>
              </w:rPr>
              <w:t>Reduces inflammation that may interfere with osteoblast function</w:t>
            </w:r>
          </w:p>
        </w:tc>
      </w:tr>
    </w:tbl>
    <w:p w:rsidR="00A852CB" w:rsidRDefault="00A852CB">
      <w:pPr>
        <w:rPr>
          <w:rFonts w:asciiTheme="minorHAnsi" w:hAnsiTheme="minorHAnsi" w:cstheme="minorHAnsi"/>
          <w:sz w:val="64"/>
          <w:szCs w:val="64"/>
        </w:rPr>
      </w:pPr>
    </w:p>
    <w:p w:rsidR="00A852CB" w:rsidRDefault="00A852CB">
      <w:pPr>
        <w:rPr>
          <w:rFonts w:asciiTheme="minorHAnsi" w:hAnsiTheme="minorHAnsi" w:cstheme="minorHAnsi"/>
          <w:sz w:val="64"/>
          <w:szCs w:val="64"/>
        </w:rPr>
      </w:pPr>
      <w:r>
        <w:rPr>
          <w:rFonts w:asciiTheme="minorHAnsi" w:hAnsiTheme="minorHAnsi" w:cstheme="minorHAnsi"/>
          <w:sz w:val="64"/>
          <w:szCs w:val="64"/>
        </w:rPr>
        <w:br w:type="page"/>
      </w:r>
    </w:p>
    <w:p w:rsidR="00A852CB" w:rsidRDefault="00A852CB">
      <w:pPr>
        <w:rPr>
          <w:rFonts w:asciiTheme="minorHAnsi" w:hAnsiTheme="minorHAnsi" w:cstheme="minorHAnsi"/>
          <w:sz w:val="64"/>
          <w:szCs w:val="64"/>
        </w:rPr>
      </w:pPr>
      <w:r>
        <w:rPr>
          <w:noProof/>
        </w:rPr>
        <w:lastRenderedPageBreak/>
        <w:drawing>
          <wp:inline distT="0" distB="0" distL="0" distR="0">
            <wp:extent cx="5486400" cy="3525819"/>
            <wp:effectExtent l="0" t="0" r="0" b="0"/>
            <wp:docPr id="66" name="Picture 66" descr="This graph shows bone mass (total mass of skeletal calcium in grams) on the Y axis. The Y axis scale goes from 0 up to 1500. The x axis displays age in years from 0 to 100 years. Two plot lines are shown: a blue line for males and a pink line for females. Male bone mass climbs rapidly from 0 grams to 1500 grams between age 0 and age 25. Bone mass then slowly drops to 1000 grams between age 25 and age 100. Female bone loss climbs rapidly from 0 grams to about 1200 grams between age 0 and age 28. Female bone mass then drops very slowly from 1200 grams to 1000 grams between age 29 and age 55. Bone mass then drops steeply from 1000 grams to 750 grams between ages 55 and 60. This is labeled on the graph as bone loss due to menopause. After this steep drop, the female line again levels somewhat, but still drops gradually, much like that of the male. Between age 60 and age 100, female bone density drops from 750 grams to about 625 gr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This graph shows bone mass (total mass of skeletal calcium in grams) on the Y axis. The Y axis scale goes from 0 up to 1500. The x axis displays age in years from 0 to 100 years. Two plot lines are shown: a blue line for males and a pink line for females. Male bone mass climbs rapidly from 0 grams to 1500 grams between age 0 and age 25. Bone mass then slowly drops to 1000 grams between age 25 and age 100. Female bone loss climbs rapidly from 0 grams to about 1200 grams between age 0 and age 28. Female bone mass then drops very slowly from 1200 grams to 1000 grams between age 29 and age 55. Bone mass then drops steeply from 1000 grams to 750 grams between ages 55 and 60. This is labeled on the graph as bone loss due to menopause. After this steep drop, the female line again levels somewhat, but still drops gradually, much like that of the male. Between age 60 and age 100, female bone density drops from 750 grams to about 625 gram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86400" cy="3525819"/>
                    </a:xfrm>
                    <a:prstGeom prst="rect">
                      <a:avLst/>
                    </a:prstGeom>
                    <a:noFill/>
                    <a:ln>
                      <a:noFill/>
                    </a:ln>
                  </pic:spPr>
                </pic:pic>
              </a:graphicData>
            </a:graphic>
          </wp:inline>
        </w:drawing>
      </w:r>
    </w:p>
    <w:p w:rsidR="00A852CB" w:rsidRDefault="00A852CB">
      <w:pPr>
        <w:rPr>
          <w:rFonts w:asciiTheme="minorHAnsi" w:hAnsiTheme="minorHAnsi" w:cstheme="minorHAnsi"/>
          <w:sz w:val="64"/>
          <w:szCs w:val="64"/>
        </w:rPr>
      </w:pPr>
    </w:p>
    <w:p w:rsidR="00A852CB" w:rsidRDefault="00A852CB">
      <w:pPr>
        <w:rPr>
          <w:rFonts w:ascii="Georgia" w:hAnsi="Georgia"/>
          <w:color w:val="000000"/>
          <w:sz w:val="19"/>
          <w:szCs w:val="19"/>
          <w:shd w:val="clear" w:color="auto" w:fill="EEEEEE"/>
        </w:rPr>
      </w:pPr>
      <w:r>
        <w:rPr>
          <w:rStyle w:val="Strong"/>
          <w:rFonts w:ascii="Georgia" w:hAnsi="Georgia"/>
          <w:color w:val="000000"/>
          <w:sz w:val="19"/>
          <w:szCs w:val="19"/>
          <w:bdr w:val="none" w:sz="0" w:space="0" w:color="auto" w:frame="1"/>
          <w:shd w:val="clear" w:color="auto" w:fill="EEEEEE"/>
        </w:rPr>
        <w:t>Figure 6.62 – Graph Showing Relationship Between Age and Bone Mass:</w:t>
      </w:r>
      <w:r>
        <w:rPr>
          <w:rFonts w:ascii="Georgia" w:hAnsi="Georgia"/>
          <w:color w:val="000000"/>
          <w:sz w:val="19"/>
          <w:szCs w:val="19"/>
          <w:shd w:val="clear" w:color="auto" w:fill="EEEEEE"/>
        </w:rPr>
        <w:t> Bone density peaks at about 30 years of age. Women lose bone mass more rapidly than men.</w:t>
      </w:r>
    </w:p>
    <w:p w:rsidR="00A852CB" w:rsidRDefault="00A852CB">
      <w:pPr>
        <w:rPr>
          <w:rFonts w:ascii="Georgia" w:hAnsi="Georgia"/>
          <w:color w:val="000000"/>
          <w:sz w:val="19"/>
          <w:szCs w:val="19"/>
          <w:shd w:val="clear" w:color="auto" w:fill="EEEEEE"/>
        </w:rPr>
      </w:pPr>
    </w:p>
    <w:p w:rsidR="00A852CB" w:rsidRDefault="00A852CB">
      <w:pPr>
        <w:rPr>
          <w:rFonts w:ascii="Georgia" w:hAnsi="Georgia"/>
          <w:color w:val="000000"/>
          <w:sz w:val="19"/>
          <w:szCs w:val="19"/>
          <w:shd w:val="clear" w:color="auto" w:fill="EEEEEE"/>
        </w:rPr>
      </w:pPr>
      <w:r>
        <w:rPr>
          <w:rFonts w:ascii="Georgia" w:hAnsi="Georgia"/>
          <w:color w:val="000000"/>
          <w:sz w:val="19"/>
          <w:szCs w:val="19"/>
          <w:shd w:val="clear" w:color="auto" w:fill="EEEEEE"/>
        </w:rPr>
        <w:br w:type="page"/>
      </w:r>
    </w:p>
    <w:p w:rsidR="00A852CB" w:rsidRDefault="00A852CB">
      <w:pPr>
        <w:rPr>
          <w:rFonts w:asciiTheme="minorHAnsi" w:hAnsiTheme="minorHAnsi" w:cstheme="minorHAnsi"/>
          <w:sz w:val="64"/>
          <w:szCs w:val="64"/>
        </w:rPr>
      </w:pPr>
      <w:r>
        <w:rPr>
          <w:rFonts w:asciiTheme="minorHAnsi" w:hAnsiTheme="minorHAnsi" w:cstheme="minorHAnsi"/>
          <w:sz w:val="64"/>
          <w:szCs w:val="64"/>
        </w:rPr>
        <w:lastRenderedPageBreak/>
        <w:t>Hormones</w:t>
      </w:r>
    </w:p>
    <w:p w:rsidR="00A852CB" w:rsidRDefault="00A852CB">
      <w:pPr>
        <w:rPr>
          <w:rFonts w:asciiTheme="minorHAnsi" w:hAnsiTheme="minorHAnsi" w:cstheme="minorHAnsi"/>
          <w:sz w:val="64"/>
          <w:szCs w:val="64"/>
        </w:rPr>
      </w:pPr>
      <w:r>
        <w:rPr>
          <w:rFonts w:asciiTheme="minorHAnsi" w:hAnsiTheme="minorHAnsi" w:cstheme="minorHAnsi"/>
          <w:sz w:val="64"/>
          <w:szCs w:val="64"/>
        </w:rPr>
        <w:br w:type="page"/>
      </w:r>
    </w:p>
    <w:tbl>
      <w:tblPr>
        <w:tblW w:w="10785" w:type="dxa"/>
        <w:tblBorders>
          <w:top w:val="single" w:sz="6" w:space="0" w:color="E7E7E7"/>
          <w:left w:val="single" w:sz="6" w:space="0" w:color="E7E7E7"/>
          <w:bottom w:val="single" w:sz="6" w:space="0" w:color="E7E7E7"/>
          <w:right w:val="single" w:sz="6" w:space="0" w:color="E7E7E7"/>
        </w:tblBorders>
        <w:tblCellMar>
          <w:left w:w="0" w:type="dxa"/>
          <w:right w:w="0" w:type="dxa"/>
        </w:tblCellMar>
        <w:tblLook w:val="04A0" w:firstRow="1" w:lastRow="0" w:firstColumn="1" w:lastColumn="0" w:noHBand="0" w:noVBand="1"/>
        <w:tblDescription w:val=""/>
      </w:tblPr>
      <w:tblGrid>
        <w:gridCol w:w="2120"/>
        <w:gridCol w:w="8665"/>
      </w:tblGrid>
      <w:tr w:rsidR="00A852CB" w:rsidTr="00A852CB">
        <w:trPr>
          <w:tblHeader/>
        </w:trPr>
        <w:tc>
          <w:tcPr>
            <w:tcW w:w="0" w:type="auto"/>
            <w:gridSpan w:val="2"/>
            <w:tcBorders>
              <w:top w:val="single" w:sz="6" w:space="0" w:color="DDDDDD"/>
              <w:left w:val="single" w:sz="6" w:space="0" w:color="DDDDDD"/>
              <w:bottom w:val="single" w:sz="6" w:space="0" w:color="DDDDDD"/>
              <w:right w:val="single" w:sz="6" w:space="0" w:color="DDDDDD"/>
            </w:tcBorders>
            <w:shd w:val="clear" w:color="auto" w:fill="E7E7E7"/>
            <w:tcMar>
              <w:top w:w="135" w:type="dxa"/>
              <w:left w:w="360" w:type="dxa"/>
              <w:bottom w:w="135" w:type="dxa"/>
              <w:right w:w="360" w:type="dxa"/>
            </w:tcMar>
            <w:vAlign w:val="center"/>
            <w:hideMark/>
          </w:tcPr>
          <w:p w:rsidR="00A852CB" w:rsidRDefault="00A852CB">
            <w:pPr>
              <w:spacing w:line="270" w:lineRule="atLeast"/>
              <w:rPr>
                <w:b/>
                <w:bCs/>
                <w:color w:val="000000"/>
                <w:sz w:val="18"/>
                <w:szCs w:val="18"/>
              </w:rPr>
            </w:pPr>
            <w:r>
              <w:rPr>
                <w:b/>
                <w:bCs/>
                <w:color w:val="000000"/>
                <w:sz w:val="18"/>
                <w:szCs w:val="18"/>
              </w:rPr>
              <w:lastRenderedPageBreak/>
              <w:t>Hormones That Affect the Skeletal System (Table 6)</w:t>
            </w:r>
          </w:p>
        </w:tc>
      </w:tr>
      <w:tr w:rsidR="00A852CB" w:rsidTr="00A852CB">
        <w:trPr>
          <w:tblHeader/>
        </w:trPr>
        <w:tc>
          <w:tcPr>
            <w:tcW w:w="0" w:type="auto"/>
            <w:tcBorders>
              <w:top w:val="single" w:sz="6" w:space="0" w:color="DDDDDD"/>
              <w:left w:val="single" w:sz="6" w:space="0" w:color="DDDDDD"/>
              <w:bottom w:val="single" w:sz="6" w:space="0" w:color="DDDDDD"/>
              <w:right w:val="single" w:sz="6" w:space="0" w:color="DDDDDD"/>
            </w:tcBorders>
            <w:shd w:val="clear" w:color="auto" w:fill="E7E7E7"/>
            <w:tcMar>
              <w:top w:w="135" w:type="dxa"/>
              <w:left w:w="360" w:type="dxa"/>
              <w:bottom w:w="135" w:type="dxa"/>
              <w:right w:w="360" w:type="dxa"/>
            </w:tcMar>
            <w:vAlign w:val="center"/>
            <w:hideMark/>
          </w:tcPr>
          <w:p w:rsidR="00A852CB" w:rsidRDefault="00A852CB">
            <w:pPr>
              <w:spacing w:line="270" w:lineRule="atLeast"/>
              <w:rPr>
                <w:b/>
                <w:bCs/>
                <w:color w:val="000000"/>
                <w:sz w:val="18"/>
                <w:szCs w:val="18"/>
              </w:rPr>
            </w:pPr>
            <w:r>
              <w:rPr>
                <w:b/>
                <w:bCs/>
                <w:color w:val="000000"/>
                <w:sz w:val="18"/>
                <w:szCs w:val="18"/>
              </w:rPr>
              <w:t>Hormone</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35" w:type="dxa"/>
              <w:left w:w="360" w:type="dxa"/>
              <w:bottom w:w="135" w:type="dxa"/>
              <w:right w:w="360" w:type="dxa"/>
            </w:tcMar>
            <w:vAlign w:val="center"/>
            <w:hideMark/>
          </w:tcPr>
          <w:p w:rsidR="00A852CB" w:rsidRDefault="00A852CB">
            <w:pPr>
              <w:spacing w:line="270" w:lineRule="atLeast"/>
              <w:rPr>
                <w:b/>
                <w:bCs/>
                <w:color w:val="000000"/>
                <w:sz w:val="18"/>
                <w:szCs w:val="18"/>
              </w:rPr>
            </w:pPr>
            <w:r>
              <w:rPr>
                <w:b/>
                <w:bCs/>
                <w:color w:val="000000"/>
                <w:sz w:val="18"/>
                <w:szCs w:val="18"/>
              </w:rPr>
              <w:t>Role</w:t>
            </w:r>
          </w:p>
        </w:tc>
      </w:tr>
      <w:tr w:rsidR="00A852CB" w:rsidTr="00A852CB">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A852CB" w:rsidRDefault="00A852CB">
            <w:pPr>
              <w:rPr>
                <w:sz w:val="22"/>
                <w:szCs w:val="22"/>
              </w:rPr>
            </w:pPr>
            <w:r>
              <w:rPr>
                <w:sz w:val="22"/>
                <w:szCs w:val="22"/>
              </w:rPr>
              <w:t>Growth hormone</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A852CB" w:rsidRDefault="00A852CB">
            <w:pPr>
              <w:rPr>
                <w:sz w:val="22"/>
                <w:szCs w:val="22"/>
              </w:rPr>
            </w:pPr>
            <w:r>
              <w:rPr>
                <w:sz w:val="22"/>
                <w:szCs w:val="22"/>
              </w:rPr>
              <w:t>Increases length of long bones, enhances mineralization, and improves bone density</w:t>
            </w:r>
          </w:p>
        </w:tc>
      </w:tr>
      <w:tr w:rsidR="00A852CB" w:rsidTr="00A852CB">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A852CB" w:rsidRDefault="00A852CB">
            <w:pPr>
              <w:rPr>
                <w:sz w:val="22"/>
                <w:szCs w:val="22"/>
              </w:rPr>
            </w:pPr>
            <w:r>
              <w:rPr>
                <w:sz w:val="22"/>
                <w:szCs w:val="22"/>
              </w:rPr>
              <w:t>Thyroxine</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A852CB" w:rsidRDefault="00A852CB">
            <w:pPr>
              <w:rPr>
                <w:sz w:val="22"/>
                <w:szCs w:val="22"/>
              </w:rPr>
            </w:pPr>
            <w:r>
              <w:rPr>
                <w:sz w:val="22"/>
                <w:szCs w:val="22"/>
              </w:rPr>
              <w:t>Stimulates bone growth and promotes synthesis of bone matrix</w:t>
            </w:r>
          </w:p>
        </w:tc>
      </w:tr>
      <w:tr w:rsidR="00A852CB" w:rsidTr="00A852CB">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A852CB" w:rsidRDefault="00A852CB">
            <w:pPr>
              <w:rPr>
                <w:sz w:val="22"/>
                <w:szCs w:val="22"/>
              </w:rPr>
            </w:pPr>
            <w:r>
              <w:rPr>
                <w:sz w:val="22"/>
                <w:szCs w:val="22"/>
              </w:rPr>
              <w:t>Sex hormones</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A852CB" w:rsidRDefault="00A852CB">
            <w:pPr>
              <w:rPr>
                <w:sz w:val="22"/>
                <w:szCs w:val="22"/>
              </w:rPr>
            </w:pPr>
            <w:r>
              <w:rPr>
                <w:sz w:val="22"/>
                <w:szCs w:val="22"/>
              </w:rPr>
              <w:t>Promote osteoblastic activity and production of bone matrix; responsible for adolescent growth spurt; promote conversion of epiphyseal plate to epiphyseal line</w:t>
            </w:r>
          </w:p>
        </w:tc>
      </w:tr>
      <w:tr w:rsidR="00A852CB" w:rsidTr="00A852CB">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A852CB" w:rsidRDefault="00A852CB">
            <w:pPr>
              <w:rPr>
                <w:sz w:val="22"/>
                <w:szCs w:val="22"/>
              </w:rPr>
            </w:pPr>
            <w:r>
              <w:rPr>
                <w:sz w:val="22"/>
                <w:szCs w:val="22"/>
              </w:rPr>
              <w:t>Calcitriol</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A852CB" w:rsidRDefault="00A852CB">
            <w:pPr>
              <w:rPr>
                <w:sz w:val="22"/>
                <w:szCs w:val="22"/>
              </w:rPr>
            </w:pPr>
            <w:r>
              <w:rPr>
                <w:sz w:val="22"/>
                <w:szCs w:val="22"/>
              </w:rPr>
              <w:t>Stimulates absorption of calcium and phosphate from digestive tract</w:t>
            </w:r>
          </w:p>
        </w:tc>
      </w:tr>
      <w:tr w:rsidR="00A852CB" w:rsidTr="00A852CB">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A852CB" w:rsidRDefault="00A852CB">
            <w:pPr>
              <w:rPr>
                <w:sz w:val="22"/>
                <w:szCs w:val="22"/>
              </w:rPr>
            </w:pPr>
            <w:r>
              <w:rPr>
                <w:sz w:val="22"/>
                <w:szCs w:val="22"/>
              </w:rPr>
              <w:t>Parathyroid hormone</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A852CB" w:rsidRDefault="00A852CB">
            <w:pPr>
              <w:rPr>
                <w:sz w:val="22"/>
                <w:szCs w:val="22"/>
              </w:rPr>
            </w:pPr>
            <w:r>
              <w:rPr>
                <w:sz w:val="22"/>
                <w:szCs w:val="22"/>
              </w:rPr>
              <w:t>Stimulates osteoclast proliferation and resorption of bone by osteoclasts; promotes reabsorption of calcium by kidney tubules; indirectly increases calcium absorption by small intestine</w:t>
            </w:r>
          </w:p>
        </w:tc>
      </w:tr>
      <w:tr w:rsidR="00A852CB" w:rsidTr="00A852CB">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A852CB" w:rsidRDefault="00A852CB">
            <w:pPr>
              <w:rPr>
                <w:sz w:val="22"/>
                <w:szCs w:val="22"/>
              </w:rPr>
            </w:pPr>
            <w:r>
              <w:rPr>
                <w:sz w:val="22"/>
                <w:szCs w:val="22"/>
              </w:rPr>
              <w:t>Calcitonin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A852CB" w:rsidRDefault="00A852CB">
            <w:pPr>
              <w:rPr>
                <w:sz w:val="22"/>
                <w:szCs w:val="22"/>
              </w:rPr>
            </w:pPr>
            <w:r>
              <w:rPr>
                <w:sz w:val="22"/>
                <w:szCs w:val="22"/>
              </w:rPr>
              <w:t>Inhibits osteoclast activity and stimulates calcium uptake by bones</w:t>
            </w:r>
          </w:p>
        </w:tc>
      </w:tr>
    </w:tbl>
    <w:p w:rsidR="00A852CB" w:rsidRDefault="00A852CB">
      <w:pPr>
        <w:rPr>
          <w:rFonts w:asciiTheme="minorHAnsi" w:hAnsiTheme="minorHAnsi" w:cstheme="minorHAnsi"/>
          <w:sz w:val="64"/>
          <w:szCs w:val="64"/>
        </w:rPr>
      </w:pPr>
    </w:p>
    <w:p w:rsidR="00A852CB" w:rsidRDefault="00A852CB">
      <w:pPr>
        <w:rPr>
          <w:rFonts w:asciiTheme="minorHAnsi" w:hAnsiTheme="minorHAnsi" w:cstheme="minorHAnsi"/>
          <w:sz w:val="64"/>
          <w:szCs w:val="64"/>
        </w:rPr>
      </w:pPr>
      <w:r>
        <w:rPr>
          <w:rFonts w:asciiTheme="minorHAnsi" w:hAnsiTheme="minorHAnsi" w:cstheme="minorHAnsi"/>
          <w:sz w:val="64"/>
          <w:szCs w:val="64"/>
        </w:rPr>
        <w:br w:type="page"/>
      </w:r>
    </w:p>
    <w:p w:rsidR="00A852CB" w:rsidRDefault="00A852CB">
      <w:pPr>
        <w:rPr>
          <w:rFonts w:asciiTheme="minorHAnsi" w:hAnsiTheme="minorHAnsi" w:cstheme="minorHAnsi"/>
          <w:sz w:val="64"/>
          <w:szCs w:val="64"/>
        </w:rPr>
      </w:pPr>
      <w:r>
        <w:rPr>
          <w:rFonts w:asciiTheme="minorHAnsi" w:hAnsiTheme="minorHAnsi" w:cstheme="minorHAnsi"/>
          <w:sz w:val="64"/>
          <w:szCs w:val="64"/>
        </w:rPr>
        <w:lastRenderedPageBreak/>
        <w:t>Calcium Homeostasis</w:t>
      </w:r>
    </w:p>
    <w:p w:rsidR="00A852CB" w:rsidRDefault="00A852CB">
      <w:pPr>
        <w:rPr>
          <w:rFonts w:asciiTheme="minorHAnsi" w:hAnsiTheme="minorHAnsi" w:cstheme="minorHAnsi"/>
          <w:sz w:val="64"/>
          <w:szCs w:val="64"/>
        </w:rPr>
      </w:pPr>
    </w:p>
    <w:p w:rsidR="00A852CB" w:rsidRDefault="00A852CB">
      <w:pPr>
        <w:rPr>
          <w:rFonts w:asciiTheme="minorHAnsi" w:hAnsiTheme="minorHAnsi" w:cstheme="minorHAnsi"/>
          <w:sz w:val="64"/>
          <w:szCs w:val="64"/>
        </w:rPr>
      </w:pPr>
      <w:r>
        <w:rPr>
          <w:rFonts w:asciiTheme="minorHAnsi" w:hAnsiTheme="minorHAnsi" w:cstheme="minorHAnsi"/>
          <w:sz w:val="64"/>
          <w:szCs w:val="64"/>
        </w:rPr>
        <w:br w:type="page"/>
      </w:r>
    </w:p>
    <w:p w:rsidR="00A852CB" w:rsidRDefault="00A852CB">
      <w:pPr>
        <w:rPr>
          <w:rFonts w:asciiTheme="minorHAnsi" w:hAnsiTheme="minorHAnsi" w:cstheme="minorHAnsi"/>
          <w:sz w:val="64"/>
          <w:szCs w:val="64"/>
        </w:rPr>
      </w:pPr>
      <w:r>
        <w:rPr>
          <w:noProof/>
        </w:rPr>
        <w:lastRenderedPageBreak/>
        <w:drawing>
          <wp:inline distT="0" distB="0" distL="0" distR="0">
            <wp:extent cx="5486400" cy="4897419"/>
            <wp:effectExtent l="0" t="0" r="0" b="0"/>
            <wp:docPr id="67" name="Picture 67" descr="In this illustration, the two mechanisms that maintain calcium homeostasis are shown as two semicircles that are combined, one on top of each other, to make a complete circle. Homeostasis occurs along the diameter of the circle, at the border between the two semicircles. At homoeostasis, normal calcium levels are 10 milligrams per deciliter. The upper semicircle represents the mechanism that reduces elevated calcium levels in the blood when the levels are too high. First, the thyroid gland releases calcitonin. Calcitonin activity inhibits osteoclasts and decreases the reabsorption of calcium ions in the kidney. These two actions cause calcium ion levels in the blood to drop back to homeostasis. The lower semicircle represents the mechanisms that increase calcium levels in the blood when the levels are too low. First, the parathyroid glands release PTH. PTH stimulates osteoclast activity, causing calcium ions to be released from bone. PTH also increases the reabsorption of calcium by the kidney. In addition, PTH also increases calcium absorption in the small intestines via Vitamin D synthesis. These three actions cause calcium ion levels in the blood to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n this illustration, the two mechanisms that maintain calcium homeostasis are shown as two semicircles that are combined, one on top of each other, to make a complete circle. Homeostasis occurs along the diameter of the circle, at the border between the two semicircles. At homoeostasis, normal calcium levels are 10 milligrams per deciliter. The upper semicircle represents the mechanism that reduces elevated calcium levels in the blood when the levels are too high. First, the thyroid gland releases calcitonin. Calcitonin activity inhibits osteoclasts and decreases the reabsorption of calcium ions in the kidney. These two actions cause calcium ion levels in the blood to drop back to homeostasis. The lower semicircle represents the mechanisms that increase calcium levels in the blood when the levels are too low. First, the parathyroid glands release PTH. PTH stimulates osteoclast activity, causing calcium ions to be released from bone. PTH also increases the reabsorption of calcium by the kidney. In addition, PTH also increases calcium absorption in the small intestines via Vitamin D synthesis. These three actions cause calcium ion levels in the blood to increas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86400" cy="4897419"/>
                    </a:xfrm>
                    <a:prstGeom prst="rect">
                      <a:avLst/>
                    </a:prstGeom>
                    <a:noFill/>
                    <a:ln>
                      <a:noFill/>
                    </a:ln>
                  </pic:spPr>
                </pic:pic>
              </a:graphicData>
            </a:graphic>
          </wp:inline>
        </w:drawing>
      </w:r>
    </w:p>
    <w:p w:rsidR="00A852CB" w:rsidRDefault="00A852CB">
      <w:pPr>
        <w:rPr>
          <w:rStyle w:val="Strong"/>
          <w:rFonts w:ascii="Georgia" w:hAnsi="Georgia"/>
          <w:color w:val="000000"/>
          <w:sz w:val="19"/>
          <w:szCs w:val="19"/>
          <w:bdr w:val="none" w:sz="0" w:space="0" w:color="auto" w:frame="1"/>
          <w:shd w:val="clear" w:color="auto" w:fill="FFFFFF"/>
        </w:rPr>
      </w:pPr>
    </w:p>
    <w:p w:rsidR="00A852CB" w:rsidRDefault="00A852CB">
      <w:pPr>
        <w:rPr>
          <w:rStyle w:val="Strong"/>
          <w:rFonts w:ascii="Georgia" w:hAnsi="Georgia"/>
          <w:color w:val="000000"/>
          <w:sz w:val="19"/>
          <w:szCs w:val="19"/>
          <w:bdr w:val="none" w:sz="0" w:space="0" w:color="auto" w:frame="1"/>
          <w:shd w:val="clear" w:color="auto" w:fill="FFFFFF"/>
        </w:rPr>
      </w:pPr>
    </w:p>
    <w:p w:rsidR="00A852CB" w:rsidRDefault="00A852CB">
      <w:pPr>
        <w:rPr>
          <w:rFonts w:asciiTheme="minorHAnsi" w:hAnsiTheme="minorHAnsi" w:cstheme="minorHAnsi"/>
          <w:sz w:val="64"/>
          <w:szCs w:val="64"/>
        </w:rPr>
      </w:pPr>
      <w:r>
        <w:rPr>
          <w:rStyle w:val="Strong"/>
          <w:rFonts w:ascii="Georgia" w:hAnsi="Georgia"/>
          <w:color w:val="000000"/>
          <w:sz w:val="19"/>
          <w:szCs w:val="19"/>
          <w:bdr w:val="none" w:sz="0" w:space="0" w:color="auto" w:frame="1"/>
          <w:shd w:val="clear" w:color="auto" w:fill="FFFFFF"/>
        </w:rPr>
        <w:t>Figure 6.71 – Pathways in Calcium Homeostasis:</w:t>
      </w:r>
      <w:r>
        <w:rPr>
          <w:rFonts w:ascii="Georgia" w:hAnsi="Georgia"/>
          <w:color w:val="000000"/>
          <w:sz w:val="19"/>
          <w:szCs w:val="19"/>
          <w:shd w:val="clear" w:color="auto" w:fill="FFFFFF"/>
        </w:rPr>
        <w:t> The body regulates calcium homeostasis with two pathways; one is signaled to turn on when blood calcium levels drop below normal and one is the pathway that is signaled to turn on when blood calcium levels are elevated.</w:t>
      </w:r>
      <w:r>
        <w:rPr>
          <w:rFonts w:asciiTheme="minorHAnsi" w:hAnsiTheme="minorHAnsi" w:cstheme="minorHAnsi"/>
          <w:sz w:val="64"/>
          <w:szCs w:val="64"/>
        </w:rPr>
        <w:br w:type="page"/>
      </w:r>
    </w:p>
    <w:p w:rsidR="008D37EE" w:rsidRDefault="008D37EE">
      <w:pPr>
        <w:rPr>
          <w:rFonts w:asciiTheme="minorHAnsi" w:hAnsiTheme="minorHAnsi" w:cstheme="minorHAnsi"/>
          <w:sz w:val="64"/>
          <w:szCs w:val="64"/>
        </w:rPr>
      </w:pPr>
      <w:r>
        <w:rPr>
          <w:rFonts w:asciiTheme="minorHAnsi" w:hAnsiTheme="minorHAnsi" w:cstheme="minorHAnsi"/>
          <w:sz w:val="64"/>
          <w:szCs w:val="64"/>
        </w:rPr>
        <w:lastRenderedPageBreak/>
        <w:t>Hematopoietic Tissue</w:t>
      </w:r>
    </w:p>
    <w:p w:rsidR="00C912EE" w:rsidRDefault="00C912EE">
      <w:pPr>
        <w:rPr>
          <w:rFonts w:asciiTheme="minorHAnsi" w:hAnsiTheme="minorHAnsi" w:cstheme="minorHAnsi"/>
          <w:sz w:val="64"/>
          <w:szCs w:val="64"/>
        </w:rPr>
      </w:pPr>
    </w:p>
    <w:p w:rsidR="00C912EE" w:rsidRDefault="00C912EE">
      <w:pPr>
        <w:rPr>
          <w:rFonts w:asciiTheme="minorHAnsi" w:hAnsiTheme="minorHAnsi" w:cstheme="minorHAnsi"/>
          <w:sz w:val="64"/>
          <w:szCs w:val="64"/>
        </w:rPr>
      </w:pPr>
    </w:p>
    <w:p w:rsidR="00C912EE" w:rsidRDefault="00C912EE">
      <w:pPr>
        <w:rPr>
          <w:rFonts w:asciiTheme="minorHAnsi" w:hAnsiTheme="minorHAnsi" w:cstheme="minorHAnsi"/>
          <w:sz w:val="64"/>
          <w:szCs w:val="64"/>
        </w:rPr>
      </w:pPr>
    </w:p>
    <w:p w:rsidR="00C912EE" w:rsidRDefault="00C912EE">
      <w:pPr>
        <w:rPr>
          <w:rFonts w:asciiTheme="minorHAnsi" w:hAnsiTheme="minorHAnsi" w:cstheme="minorHAnsi"/>
          <w:sz w:val="64"/>
          <w:szCs w:val="64"/>
        </w:rPr>
      </w:pPr>
    </w:p>
    <w:p w:rsidR="00C912EE" w:rsidRDefault="00C912EE">
      <w:pPr>
        <w:rPr>
          <w:rFonts w:asciiTheme="minorHAnsi" w:hAnsiTheme="minorHAnsi" w:cstheme="minorHAnsi"/>
          <w:sz w:val="64"/>
          <w:szCs w:val="64"/>
        </w:rPr>
      </w:pPr>
    </w:p>
    <w:p w:rsidR="00C912EE" w:rsidRDefault="00C912EE">
      <w:pPr>
        <w:rPr>
          <w:rFonts w:asciiTheme="minorHAnsi" w:hAnsiTheme="minorHAnsi" w:cstheme="minorHAnsi"/>
          <w:sz w:val="64"/>
          <w:szCs w:val="64"/>
        </w:rPr>
      </w:pPr>
    </w:p>
    <w:p w:rsidR="00C912EE" w:rsidRDefault="00C912EE">
      <w:pPr>
        <w:rPr>
          <w:rFonts w:asciiTheme="minorHAnsi" w:hAnsiTheme="minorHAnsi" w:cstheme="minorHAnsi"/>
          <w:sz w:val="64"/>
          <w:szCs w:val="64"/>
        </w:rPr>
      </w:pPr>
    </w:p>
    <w:p w:rsidR="00C912EE" w:rsidRDefault="00C912EE">
      <w:pPr>
        <w:rPr>
          <w:rFonts w:asciiTheme="minorHAnsi" w:hAnsiTheme="minorHAnsi" w:cstheme="minorHAnsi"/>
          <w:sz w:val="64"/>
          <w:szCs w:val="64"/>
        </w:rPr>
      </w:pPr>
    </w:p>
    <w:p w:rsidR="008D37EE" w:rsidRDefault="008D37EE">
      <w:pPr>
        <w:rPr>
          <w:rFonts w:asciiTheme="minorHAnsi" w:hAnsiTheme="minorHAnsi" w:cstheme="minorHAnsi"/>
          <w:sz w:val="64"/>
          <w:szCs w:val="64"/>
        </w:rPr>
      </w:pPr>
      <w:r>
        <w:rPr>
          <w:rFonts w:asciiTheme="minorHAnsi" w:hAnsiTheme="minorHAnsi" w:cstheme="minorHAnsi"/>
          <w:sz w:val="64"/>
          <w:szCs w:val="64"/>
        </w:rPr>
        <w:br w:type="page"/>
      </w:r>
      <w:bookmarkStart w:id="0" w:name="_GoBack"/>
      <w:bookmarkEnd w:id="0"/>
    </w:p>
    <w:sectPr w:rsidR="008D37EE">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72D6"/>
    <w:rsid w:val="000576DC"/>
    <w:rsid w:val="000972C2"/>
    <w:rsid w:val="000C0503"/>
    <w:rsid w:val="00104396"/>
    <w:rsid w:val="00136B3B"/>
    <w:rsid w:val="00145A23"/>
    <w:rsid w:val="001721D6"/>
    <w:rsid w:val="001972DE"/>
    <w:rsid w:val="001A120F"/>
    <w:rsid w:val="00282A92"/>
    <w:rsid w:val="002E5A6B"/>
    <w:rsid w:val="002F0944"/>
    <w:rsid w:val="00335CE5"/>
    <w:rsid w:val="0033721A"/>
    <w:rsid w:val="003C7281"/>
    <w:rsid w:val="00475E22"/>
    <w:rsid w:val="00552083"/>
    <w:rsid w:val="00596520"/>
    <w:rsid w:val="005E415F"/>
    <w:rsid w:val="00681C63"/>
    <w:rsid w:val="006E30D7"/>
    <w:rsid w:val="007260A9"/>
    <w:rsid w:val="0072736C"/>
    <w:rsid w:val="00765948"/>
    <w:rsid w:val="007935C7"/>
    <w:rsid w:val="00832836"/>
    <w:rsid w:val="008D37EE"/>
    <w:rsid w:val="009638AE"/>
    <w:rsid w:val="009E71F0"/>
    <w:rsid w:val="00A852CB"/>
    <w:rsid w:val="00A92EC2"/>
    <w:rsid w:val="00B15469"/>
    <w:rsid w:val="00B334CD"/>
    <w:rsid w:val="00B972D6"/>
    <w:rsid w:val="00BF62AB"/>
    <w:rsid w:val="00C17D47"/>
    <w:rsid w:val="00C7332A"/>
    <w:rsid w:val="00C77726"/>
    <w:rsid w:val="00C912EE"/>
    <w:rsid w:val="00D154AE"/>
    <w:rsid w:val="00DD0253"/>
    <w:rsid w:val="00E71F4D"/>
    <w:rsid w:val="00F92017"/>
    <w:rsid w:val="00FC71D1"/>
    <w:rsid w:val="00FE0C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BF8ECE1"/>
  <w15:docId w15:val="{1DB224D4-5B93-401C-8A5D-7FEFC9F1D3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3">
    <w:name w:val="heading 3"/>
    <w:basedOn w:val="Normal"/>
    <w:link w:val="Heading3Char"/>
    <w:uiPriority w:val="9"/>
    <w:qFormat/>
    <w:rsid w:val="00F92017"/>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B972D6"/>
    <w:rPr>
      <w:rFonts w:ascii="Tahoma" w:hAnsi="Tahoma" w:cs="Tahoma"/>
      <w:sz w:val="16"/>
      <w:szCs w:val="16"/>
    </w:rPr>
  </w:style>
  <w:style w:type="character" w:customStyle="1" w:styleId="BalloonTextChar">
    <w:name w:val="Balloon Text Char"/>
    <w:basedOn w:val="DefaultParagraphFont"/>
    <w:link w:val="BalloonText"/>
    <w:rsid w:val="00B972D6"/>
    <w:rPr>
      <w:rFonts w:ascii="Tahoma" w:hAnsi="Tahoma" w:cs="Tahoma"/>
      <w:sz w:val="16"/>
      <w:szCs w:val="16"/>
    </w:rPr>
  </w:style>
  <w:style w:type="character" w:styleId="Strong">
    <w:name w:val="Strong"/>
    <w:basedOn w:val="DefaultParagraphFont"/>
    <w:uiPriority w:val="22"/>
    <w:qFormat/>
    <w:rsid w:val="00B334CD"/>
    <w:rPr>
      <w:b/>
      <w:bCs/>
    </w:rPr>
  </w:style>
  <w:style w:type="character" w:customStyle="1" w:styleId="Heading3Char">
    <w:name w:val="Heading 3 Char"/>
    <w:basedOn w:val="DefaultParagraphFont"/>
    <w:link w:val="Heading3"/>
    <w:uiPriority w:val="9"/>
    <w:rsid w:val="00F92017"/>
    <w:rPr>
      <w:b/>
      <w:bCs/>
      <w:sz w:val="27"/>
      <w:szCs w:val="27"/>
    </w:rPr>
  </w:style>
  <w:style w:type="paragraph" w:customStyle="1" w:styleId="wp-caption-text">
    <w:name w:val="wp-caption-text"/>
    <w:basedOn w:val="Normal"/>
    <w:rsid w:val="00F92017"/>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5841919">
      <w:bodyDiv w:val="1"/>
      <w:marLeft w:val="0"/>
      <w:marRight w:val="0"/>
      <w:marTop w:val="0"/>
      <w:marBottom w:val="0"/>
      <w:divBdr>
        <w:top w:val="none" w:sz="0" w:space="0" w:color="auto"/>
        <w:left w:val="none" w:sz="0" w:space="0" w:color="auto"/>
        <w:bottom w:val="none" w:sz="0" w:space="0" w:color="auto"/>
        <w:right w:val="none" w:sz="0" w:space="0" w:color="auto"/>
      </w:divBdr>
      <w:divsChild>
        <w:div w:id="1003438634">
          <w:marLeft w:val="0"/>
          <w:marRight w:val="0"/>
          <w:marTop w:val="120"/>
          <w:marBottom w:val="120"/>
          <w:divBdr>
            <w:top w:val="none" w:sz="0" w:space="0" w:color="auto"/>
            <w:left w:val="none" w:sz="0" w:space="0" w:color="auto"/>
            <w:bottom w:val="none" w:sz="0" w:space="0" w:color="auto"/>
            <w:right w:val="none" w:sz="0" w:space="0" w:color="auto"/>
          </w:divBdr>
        </w:div>
        <w:div w:id="1537887488">
          <w:marLeft w:val="0"/>
          <w:marRight w:val="0"/>
          <w:marTop w:val="216"/>
          <w:marBottom w:val="225"/>
          <w:divBdr>
            <w:top w:val="single" w:sz="6" w:space="11" w:color="auto"/>
            <w:left w:val="single" w:sz="6" w:space="16" w:color="auto"/>
            <w:bottom w:val="single" w:sz="6" w:space="11" w:color="auto"/>
            <w:right w:val="single" w:sz="6" w:space="16" w:color="auto"/>
          </w:divBdr>
        </w:div>
      </w:divsChild>
    </w:div>
    <w:div w:id="870383844">
      <w:bodyDiv w:val="1"/>
      <w:marLeft w:val="0"/>
      <w:marRight w:val="0"/>
      <w:marTop w:val="0"/>
      <w:marBottom w:val="0"/>
      <w:divBdr>
        <w:top w:val="none" w:sz="0" w:space="0" w:color="auto"/>
        <w:left w:val="none" w:sz="0" w:space="0" w:color="auto"/>
        <w:bottom w:val="none" w:sz="0" w:space="0" w:color="auto"/>
        <w:right w:val="none" w:sz="0" w:space="0" w:color="auto"/>
      </w:divBdr>
    </w:div>
    <w:div w:id="1283728532">
      <w:bodyDiv w:val="1"/>
      <w:marLeft w:val="0"/>
      <w:marRight w:val="0"/>
      <w:marTop w:val="0"/>
      <w:marBottom w:val="0"/>
      <w:divBdr>
        <w:top w:val="none" w:sz="0" w:space="0" w:color="auto"/>
        <w:left w:val="none" w:sz="0" w:space="0" w:color="auto"/>
        <w:bottom w:val="none" w:sz="0" w:space="0" w:color="auto"/>
        <w:right w:val="none" w:sz="0" w:space="0" w:color="auto"/>
      </w:divBdr>
      <w:divsChild>
        <w:div w:id="1976832443">
          <w:marLeft w:val="0"/>
          <w:marRight w:val="0"/>
          <w:marTop w:val="216"/>
          <w:marBottom w:val="225"/>
          <w:divBdr>
            <w:top w:val="single" w:sz="6" w:space="11" w:color="auto"/>
            <w:left w:val="single" w:sz="6" w:space="16" w:color="auto"/>
            <w:bottom w:val="single" w:sz="6" w:space="11" w:color="auto"/>
            <w:right w:val="single" w:sz="6" w:space="16" w:color="auto"/>
          </w:divBdr>
        </w:div>
      </w:divsChild>
    </w:div>
    <w:div w:id="1590886558">
      <w:bodyDiv w:val="1"/>
      <w:marLeft w:val="0"/>
      <w:marRight w:val="0"/>
      <w:marTop w:val="0"/>
      <w:marBottom w:val="0"/>
      <w:divBdr>
        <w:top w:val="none" w:sz="0" w:space="0" w:color="auto"/>
        <w:left w:val="none" w:sz="0" w:space="0" w:color="auto"/>
        <w:bottom w:val="none" w:sz="0" w:space="0" w:color="auto"/>
        <w:right w:val="none" w:sz="0" w:space="0" w:color="auto"/>
      </w:divBdr>
    </w:div>
    <w:div w:id="1787237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AAD88F-88FF-4DE7-B2B9-E83DFD4B7D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D7A54829</Template>
  <TotalTime>1</TotalTime>
  <Pages>37</Pages>
  <Words>1132</Words>
  <Characters>6456</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Michelle Miller</dc:creator>
  <cp:lastModifiedBy>Michelle Miller</cp:lastModifiedBy>
  <cp:revision>2</cp:revision>
  <dcterms:created xsi:type="dcterms:W3CDTF">2019-05-12T01:01:00Z</dcterms:created>
  <dcterms:modified xsi:type="dcterms:W3CDTF">2019-05-12T01:01:00Z</dcterms:modified>
</cp:coreProperties>
</file>