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3FC" w:rsidRDefault="00C923FC">
      <w:pPr>
        <w:rPr>
          <w:sz w:val="72"/>
          <w:szCs w:val="72"/>
        </w:rPr>
      </w:pPr>
      <w:r>
        <w:rPr>
          <w:sz w:val="72"/>
          <w:szCs w:val="72"/>
        </w:rPr>
        <w:t>Which of the following structures functions to filter lymph of possible pathogens and diseased cells?</w:t>
      </w:r>
    </w:p>
    <w:p w:rsidR="00C923FC" w:rsidRDefault="00C923FC" w:rsidP="00C923FC">
      <w:pPr>
        <w:pStyle w:val="ListParagraph"/>
        <w:numPr>
          <w:ilvl w:val="0"/>
          <w:numId w:val="1"/>
        </w:numPr>
        <w:rPr>
          <w:sz w:val="72"/>
          <w:szCs w:val="72"/>
        </w:rPr>
      </w:pPr>
      <w:r>
        <w:rPr>
          <w:sz w:val="72"/>
          <w:szCs w:val="72"/>
        </w:rPr>
        <w:t>spleen</w:t>
      </w:r>
    </w:p>
    <w:p w:rsidR="00C923FC" w:rsidRDefault="00C923FC" w:rsidP="00C923FC">
      <w:pPr>
        <w:pStyle w:val="ListParagraph"/>
        <w:numPr>
          <w:ilvl w:val="0"/>
          <w:numId w:val="1"/>
        </w:numPr>
        <w:rPr>
          <w:sz w:val="72"/>
          <w:szCs w:val="72"/>
        </w:rPr>
      </w:pPr>
      <w:r>
        <w:rPr>
          <w:sz w:val="72"/>
          <w:szCs w:val="72"/>
        </w:rPr>
        <w:t>liver</w:t>
      </w:r>
    </w:p>
    <w:p w:rsidR="00C923FC" w:rsidRDefault="00C923FC" w:rsidP="00C923FC">
      <w:pPr>
        <w:pStyle w:val="ListParagraph"/>
        <w:numPr>
          <w:ilvl w:val="0"/>
          <w:numId w:val="1"/>
        </w:numPr>
        <w:rPr>
          <w:sz w:val="72"/>
          <w:szCs w:val="72"/>
        </w:rPr>
      </w:pPr>
      <w:r>
        <w:rPr>
          <w:sz w:val="72"/>
          <w:szCs w:val="72"/>
        </w:rPr>
        <w:t>tonsils</w:t>
      </w:r>
    </w:p>
    <w:p w:rsidR="00C923FC" w:rsidRDefault="00C923FC" w:rsidP="00C923FC">
      <w:pPr>
        <w:pStyle w:val="ListParagraph"/>
        <w:numPr>
          <w:ilvl w:val="0"/>
          <w:numId w:val="1"/>
        </w:numPr>
        <w:rPr>
          <w:sz w:val="72"/>
          <w:szCs w:val="72"/>
        </w:rPr>
      </w:pPr>
      <w:r>
        <w:rPr>
          <w:sz w:val="72"/>
          <w:szCs w:val="72"/>
        </w:rPr>
        <w:t>lymph nodes</w:t>
      </w:r>
    </w:p>
    <w:p w:rsidR="00C923FC" w:rsidRPr="00C923FC" w:rsidRDefault="00C923FC" w:rsidP="00C923FC">
      <w:pPr>
        <w:pStyle w:val="ListParagraph"/>
        <w:numPr>
          <w:ilvl w:val="0"/>
          <w:numId w:val="1"/>
        </w:numPr>
        <w:rPr>
          <w:sz w:val="72"/>
          <w:szCs w:val="72"/>
        </w:rPr>
      </w:pPr>
      <w:r>
        <w:rPr>
          <w:sz w:val="72"/>
          <w:szCs w:val="72"/>
        </w:rPr>
        <w:t>Peyer’s patches</w:t>
      </w:r>
      <w:bookmarkStart w:id="0" w:name="_GoBack"/>
      <w:bookmarkEnd w:id="0"/>
      <w:r w:rsidRPr="00C923FC">
        <w:rPr>
          <w:sz w:val="72"/>
          <w:szCs w:val="72"/>
        </w:rPr>
        <w:br w:type="page"/>
      </w:r>
    </w:p>
    <w:p w:rsidR="0093020B" w:rsidRDefault="0093020B">
      <w:pPr>
        <w:rPr>
          <w:sz w:val="72"/>
          <w:szCs w:val="72"/>
        </w:rPr>
      </w:pPr>
      <w:r>
        <w:rPr>
          <w:sz w:val="72"/>
          <w:szCs w:val="72"/>
        </w:rPr>
        <w:lastRenderedPageBreak/>
        <w:t>Immune System</w:t>
      </w:r>
    </w:p>
    <w:p w:rsidR="0093020B" w:rsidRDefault="0093020B">
      <w:pPr>
        <w:rPr>
          <w:sz w:val="72"/>
          <w:szCs w:val="72"/>
        </w:rPr>
      </w:pPr>
      <w:r>
        <w:rPr>
          <w:sz w:val="72"/>
          <w:szCs w:val="72"/>
        </w:rPr>
        <w:br w:type="page"/>
      </w:r>
    </w:p>
    <w:p w:rsidR="00F47595" w:rsidRDefault="0093020B">
      <w:pPr>
        <w:rPr>
          <w:sz w:val="72"/>
          <w:szCs w:val="72"/>
        </w:rPr>
      </w:pPr>
      <w:r>
        <w:rPr>
          <w:sz w:val="72"/>
          <w:szCs w:val="72"/>
        </w:rPr>
        <w:lastRenderedPageBreak/>
        <w:t>Innate Defenses</w:t>
      </w:r>
    </w:p>
    <w:p w:rsidR="00F47595" w:rsidRDefault="00F47595">
      <w:pPr>
        <w:rPr>
          <w:sz w:val="72"/>
          <w:szCs w:val="72"/>
        </w:rPr>
      </w:pPr>
      <w:r>
        <w:rPr>
          <w:sz w:val="72"/>
          <w:szCs w:val="72"/>
        </w:rPr>
        <w:br w:type="page"/>
      </w:r>
    </w:p>
    <w:p w:rsidR="00774CD9" w:rsidRDefault="00FE3588">
      <w:pPr>
        <w:rPr>
          <w:sz w:val="72"/>
          <w:szCs w:val="72"/>
        </w:rPr>
      </w:pPr>
      <w:r>
        <w:rPr>
          <w:noProof/>
        </w:rPr>
        <w:lastRenderedPageBreak/>
        <w:drawing>
          <wp:inline distT="0" distB="0" distL="0" distR="0">
            <wp:extent cx="5943600" cy="5237167"/>
            <wp:effectExtent l="0" t="0" r="0" b="1905"/>
            <wp:docPr id="17" name="Picture 17" descr="This figure shows a lateral view of a human face in the top left. A magnified callout shows the germinal center of the palatine tonsil. Another magnified view shows how the innate immune system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figure shows a lateral view of a human face in the top left. A magnified callout shows the germinal center of the palatine tonsil. Another magnified view shows how the innate immune system wor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237167"/>
                    </a:xfrm>
                    <a:prstGeom prst="rect">
                      <a:avLst/>
                    </a:prstGeom>
                    <a:noFill/>
                    <a:ln>
                      <a:noFill/>
                    </a:ln>
                  </pic:spPr>
                </pic:pic>
              </a:graphicData>
            </a:graphic>
          </wp:inline>
        </w:drawing>
      </w:r>
      <w:r>
        <w:rPr>
          <w:rFonts w:ascii="Georgia" w:hAnsi="Georgia"/>
          <w:color w:val="000000"/>
          <w:sz w:val="29"/>
          <w:szCs w:val="29"/>
          <w:shd w:val="clear" w:color="auto" w:fill="FFFFFF"/>
        </w:rPr>
        <w:t>Figure 1. Cooperation between Innate and Adaptive Immune Responses. The innate immune system enhances adaptive immune responses so they can be more effective</w:t>
      </w:r>
    </w:p>
    <w:p w:rsidR="0093020B" w:rsidRDefault="0093020B">
      <w:pPr>
        <w:rPr>
          <w:sz w:val="72"/>
          <w:szCs w:val="72"/>
        </w:rPr>
      </w:pPr>
    </w:p>
    <w:p w:rsidR="0093020B" w:rsidRDefault="0093020B">
      <w:pPr>
        <w:rPr>
          <w:sz w:val="72"/>
          <w:szCs w:val="72"/>
        </w:rPr>
      </w:pPr>
    </w:p>
    <w:p w:rsidR="0093020B" w:rsidRDefault="0093020B">
      <w:pPr>
        <w:rPr>
          <w:sz w:val="72"/>
          <w:szCs w:val="72"/>
        </w:rPr>
      </w:pPr>
      <w:r>
        <w:rPr>
          <w:sz w:val="72"/>
          <w:szCs w:val="72"/>
        </w:rPr>
        <w:br w:type="page"/>
      </w:r>
    </w:p>
    <w:p w:rsidR="00FE3588" w:rsidRDefault="00FE3588">
      <w:pPr>
        <w:rPr>
          <w:sz w:val="72"/>
          <w:szCs w:val="72"/>
        </w:rPr>
      </w:pPr>
      <w:r>
        <w:rPr>
          <w:sz w:val="72"/>
          <w:szCs w:val="72"/>
        </w:rPr>
        <w:lastRenderedPageBreak/>
        <w:t>Barriers</w:t>
      </w:r>
    </w:p>
    <w:p w:rsidR="00FE3588" w:rsidRDefault="00FE3588">
      <w:pPr>
        <w:rPr>
          <w:sz w:val="72"/>
          <w:szCs w:val="72"/>
        </w:rPr>
      </w:pPr>
    </w:p>
    <w:p w:rsidR="00FE3588" w:rsidRDefault="00FE3588">
      <w:pPr>
        <w:rPr>
          <w:sz w:val="72"/>
          <w:szCs w:val="72"/>
        </w:rPr>
      </w:pPr>
    </w:p>
    <w:tbl>
      <w:tblPr>
        <w:tblW w:w="10785" w:type="dxa"/>
        <w:tblInd w:w="-721" w:type="dxa"/>
        <w:tblBorders>
          <w:top w:val="single" w:sz="6" w:space="0" w:color="E7E7E7"/>
          <w:left w:val="single" w:sz="6" w:space="0" w:color="E7E7E7"/>
          <w:bottom w:val="single" w:sz="6" w:space="0" w:color="E7E7E7"/>
          <w:right w:val="single" w:sz="6" w:space="0" w:color="E7E7E7"/>
        </w:tblBorders>
        <w:shd w:val="clear" w:color="auto" w:fill="FFFFFF"/>
        <w:tblCellMar>
          <w:left w:w="0" w:type="dxa"/>
          <w:right w:w="0" w:type="dxa"/>
        </w:tblCellMar>
        <w:tblLook w:val="04A0" w:firstRow="1" w:lastRow="0" w:firstColumn="1" w:lastColumn="0" w:noHBand="0" w:noVBand="1"/>
        <w:tblDescription w:val=""/>
      </w:tblPr>
      <w:tblGrid>
        <w:gridCol w:w="3760"/>
        <w:gridCol w:w="3319"/>
        <w:gridCol w:w="3706"/>
      </w:tblGrid>
      <w:tr w:rsidR="00FE3588" w:rsidRPr="00FE3588" w:rsidTr="00FE3588">
        <w:trPr>
          <w:tblHeader/>
        </w:trPr>
        <w:tc>
          <w:tcPr>
            <w:tcW w:w="0" w:type="auto"/>
            <w:gridSpan w:val="3"/>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FE3588" w:rsidRPr="00FE3588" w:rsidRDefault="00FE3588" w:rsidP="00FE3588">
            <w:pPr>
              <w:spacing w:line="270" w:lineRule="atLeast"/>
              <w:rPr>
                <w:rFonts w:ascii="Georgia" w:eastAsia="Times New Roman" w:hAnsi="Georgia"/>
                <w:b/>
                <w:bCs/>
                <w:color w:val="000000"/>
                <w:sz w:val="18"/>
                <w:szCs w:val="18"/>
              </w:rPr>
            </w:pPr>
            <w:r w:rsidRPr="00FE3588">
              <w:rPr>
                <w:rFonts w:ascii="Georgia" w:eastAsia="Times New Roman" w:hAnsi="Georgia"/>
                <w:b/>
                <w:bCs/>
                <w:color w:val="000000"/>
                <w:sz w:val="18"/>
                <w:szCs w:val="18"/>
              </w:rPr>
              <w:t>Barrier Defenses (Table 2)</w:t>
            </w:r>
          </w:p>
        </w:tc>
      </w:tr>
      <w:tr w:rsidR="00FE3588" w:rsidRPr="00FE3588" w:rsidTr="00FE3588">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FE3588" w:rsidRPr="00FE3588" w:rsidRDefault="00FE3588" w:rsidP="00FE3588">
            <w:pPr>
              <w:spacing w:line="270" w:lineRule="atLeast"/>
              <w:rPr>
                <w:rFonts w:ascii="Georgia" w:eastAsia="Times New Roman" w:hAnsi="Georgia"/>
                <w:b/>
                <w:bCs/>
                <w:color w:val="000000"/>
                <w:sz w:val="18"/>
                <w:szCs w:val="18"/>
              </w:rPr>
            </w:pPr>
            <w:r w:rsidRPr="00FE3588">
              <w:rPr>
                <w:rFonts w:ascii="Georgia" w:eastAsia="Times New Roman" w:hAnsi="Georgia"/>
                <w:b/>
                <w:bCs/>
                <w:color w:val="000000"/>
                <w:sz w:val="18"/>
                <w:szCs w:val="18"/>
              </w:rPr>
              <w:t>Site</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FE3588" w:rsidRPr="00FE3588" w:rsidRDefault="00FE3588" w:rsidP="00FE3588">
            <w:pPr>
              <w:spacing w:line="270" w:lineRule="atLeast"/>
              <w:rPr>
                <w:rFonts w:ascii="Georgia" w:eastAsia="Times New Roman" w:hAnsi="Georgia"/>
                <w:b/>
                <w:bCs/>
                <w:color w:val="000000"/>
                <w:sz w:val="18"/>
                <w:szCs w:val="18"/>
              </w:rPr>
            </w:pPr>
            <w:r w:rsidRPr="00FE3588">
              <w:rPr>
                <w:rFonts w:ascii="Georgia" w:eastAsia="Times New Roman" w:hAnsi="Georgia"/>
                <w:b/>
                <w:bCs/>
                <w:color w:val="000000"/>
                <w:sz w:val="18"/>
                <w:szCs w:val="18"/>
              </w:rPr>
              <w:t>Specific defense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35" w:type="dxa"/>
              <w:left w:w="360" w:type="dxa"/>
              <w:bottom w:w="135" w:type="dxa"/>
              <w:right w:w="360" w:type="dxa"/>
            </w:tcMar>
            <w:vAlign w:val="center"/>
            <w:hideMark/>
          </w:tcPr>
          <w:p w:rsidR="00FE3588" w:rsidRPr="00FE3588" w:rsidRDefault="00FE3588" w:rsidP="00FE3588">
            <w:pPr>
              <w:spacing w:line="270" w:lineRule="atLeast"/>
              <w:rPr>
                <w:rFonts w:ascii="Georgia" w:eastAsia="Times New Roman" w:hAnsi="Georgia"/>
                <w:b/>
                <w:bCs/>
                <w:color w:val="000000"/>
                <w:sz w:val="18"/>
                <w:szCs w:val="18"/>
              </w:rPr>
            </w:pPr>
            <w:r w:rsidRPr="00FE3588">
              <w:rPr>
                <w:rFonts w:ascii="Georgia" w:eastAsia="Times New Roman" w:hAnsi="Georgia"/>
                <w:b/>
                <w:bCs/>
                <w:color w:val="000000"/>
                <w:sz w:val="18"/>
                <w:szCs w:val="18"/>
              </w:rPr>
              <w:t>Protective aspect</w:t>
            </w:r>
          </w:p>
        </w:tc>
      </w:tr>
      <w:tr w:rsidR="00FE3588" w:rsidRPr="00FE3588" w:rsidTr="00FE3588">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Skin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Epidermal surface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Keratinized cells of surface, Langerhans cells</w:t>
            </w:r>
          </w:p>
        </w:tc>
      </w:tr>
      <w:tr w:rsidR="00FE3588" w:rsidRPr="00FE3588" w:rsidTr="00FE3588">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Skin (sweat/secretions)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Sweat glands, sebaceous glands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Low pH, washing action</w:t>
            </w:r>
          </w:p>
        </w:tc>
      </w:tr>
      <w:tr w:rsidR="00FE3588" w:rsidRPr="00FE3588" w:rsidTr="00FE3588">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Oral cavity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Salivary glands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Lysozyme</w:t>
            </w:r>
          </w:p>
        </w:tc>
      </w:tr>
      <w:tr w:rsidR="00FE3588" w:rsidRPr="00FE3588" w:rsidTr="00FE3588">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Stomach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Gastrointestinal tract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Low pH</w:t>
            </w:r>
          </w:p>
        </w:tc>
      </w:tr>
      <w:tr w:rsidR="00FE3588" w:rsidRPr="00FE3588" w:rsidTr="00FE3588">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Mucosal surfaces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Mucosal epithelium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proofErr w:type="spellStart"/>
            <w:r w:rsidRPr="00FE3588">
              <w:rPr>
                <w:rFonts w:ascii="Georgia" w:eastAsia="Times New Roman" w:hAnsi="Georgia"/>
                <w:color w:val="000000"/>
                <w:sz w:val="32"/>
                <w:szCs w:val="32"/>
              </w:rPr>
              <w:t>Nonkeratinized</w:t>
            </w:r>
            <w:proofErr w:type="spellEnd"/>
            <w:r w:rsidRPr="00FE3588">
              <w:rPr>
                <w:rFonts w:ascii="Georgia" w:eastAsia="Times New Roman" w:hAnsi="Georgia"/>
                <w:color w:val="000000"/>
                <w:sz w:val="32"/>
                <w:szCs w:val="32"/>
              </w:rPr>
              <w:t xml:space="preserve"> epithelial cells</w:t>
            </w:r>
          </w:p>
        </w:tc>
      </w:tr>
      <w:tr w:rsidR="00FE3588" w:rsidRPr="00FE3588" w:rsidTr="00FE3588">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Normal flora (nonpathogenic bacteria)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Mucosal tissues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Prevent pathogens from growing on mucosal surfaces</w:t>
            </w:r>
          </w:p>
        </w:tc>
      </w:tr>
    </w:tbl>
    <w:p w:rsidR="00FE3588" w:rsidRDefault="00FE3588">
      <w:pPr>
        <w:rPr>
          <w:sz w:val="72"/>
          <w:szCs w:val="72"/>
        </w:rPr>
      </w:pPr>
      <w:r>
        <w:rPr>
          <w:sz w:val="72"/>
          <w:szCs w:val="72"/>
        </w:rPr>
        <w:br w:type="page"/>
      </w:r>
    </w:p>
    <w:p w:rsidR="00FE3588" w:rsidRDefault="00FE3588" w:rsidP="00774CD9">
      <w:pPr>
        <w:rPr>
          <w:sz w:val="72"/>
          <w:szCs w:val="72"/>
        </w:rPr>
      </w:pPr>
      <w:r>
        <w:rPr>
          <w:sz w:val="72"/>
          <w:szCs w:val="72"/>
        </w:rPr>
        <w:lastRenderedPageBreak/>
        <w:t>Phagocytes</w:t>
      </w:r>
    </w:p>
    <w:p w:rsidR="00FE3588" w:rsidRDefault="00FE3588" w:rsidP="00774CD9">
      <w:pPr>
        <w:rPr>
          <w:sz w:val="72"/>
          <w:szCs w:val="72"/>
        </w:rPr>
      </w:pPr>
    </w:p>
    <w:p w:rsidR="00FE3588" w:rsidRDefault="00FE3588" w:rsidP="00774CD9">
      <w:pPr>
        <w:rPr>
          <w:sz w:val="72"/>
          <w:szCs w:val="72"/>
        </w:rPr>
      </w:pPr>
    </w:p>
    <w:p w:rsidR="00FE3588" w:rsidRDefault="00FE3588" w:rsidP="00774CD9">
      <w:pPr>
        <w:rPr>
          <w:sz w:val="72"/>
          <w:szCs w:val="72"/>
        </w:rPr>
      </w:pPr>
    </w:p>
    <w:tbl>
      <w:tblPr>
        <w:tblW w:w="11849" w:type="dxa"/>
        <w:tblInd w:w="-1246" w:type="dxa"/>
        <w:tblBorders>
          <w:top w:val="single" w:sz="6" w:space="0" w:color="E7E7E7"/>
          <w:left w:val="single" w:sz="6" w:space="0" w:color="E7E7E7"/>
          <w:bottom w:val="single" w:sz="6" w:space="0" w:color="E7E7E7"/>
          <w:right w:val="single" w:sz="6" w:space="0" w:color="E7E7E7"/>
        </w:tblBorders>
        <w:shd w:val="clear" w:color="auto" w:fill="FFFFFF"/>
        <w:tblCellMar>
          <w:left w:w="0" w:type="dxa"/>
          <w:right w:w="0" w:type="dxa"/>
        </w:tblCellMar>
        <w:tblLook w:val="04A0" w:firstRow="1" w:lastRow="0" w:firstColumn="1" w:lastColumn="0" w:noHBand="0" w:noVBand="1"/>
        <w:tblDescription w:val=""/>
      </w:tblPr>
      <w:tblGrid>
        <w:gridCol w:w="2475"/>
        <w:gridCol w:w="2596"/>
        <w:gridCol w:w="2882"/>
        <w:gridCol w:w="3896"/>
      </w:tblGrid>
      <w:tr w:rsidR="00FE3588" w:rsidRPr="00FE3588" w:rsidTr="00FE3588">
        <w:trPr>
          <w:tblHeader/>
        </w:trPr>
        <w:tc>
          <w:tcPr>
            <w:tcW w:w="0" w:type="auto"/>
            <w:gridSpan w:val="4"/>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FE3588" w:rsidRPr="00FE3588" w:rsidRDefault="00FE3588" w:rsidP="00FE3588">
            <w:pPr>
              <w:spacing w:line="270" w:lineRule="atLeast"/>
              <w:rPr>
                <w:rFonts w:ascii="Georgia" w:eastAsia="Times New Roman" w:hAnsi="Georgia"/>
                <w:b/>
                <w:bCs/>
                <w:color w:val="000000"/>
                <w:sz w:val="18"/>
                <w:szCs w:val="18"/>
              </w:rPr>
            </w:pPr>
            <w:r w:rsidRPr="00FE3588">
              <w:rPr>
                <w:rFonts w:ascii="Georgia" w:eastAsia="Times New Roman" w:hAnsi="Georgia"/>
                <w:b/>
                <w:bCs/>
                <w:color w:val="000000"/>
                <w:sz w:val="18"/>
                <w:szCs w:val="18"/>
              </w:rPr>
              <w:t>Phagocytic Cells of the Innate Immune System (Table 3)</w:t>
            </w:r>
          </w:p>
        </w:tc>
      </w:tr>
      <w:tr w:rsidR="00FE3588" w:rsidRPr="00FE3588" w:rsidTr="00FE3588">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FE3588" w:rsidRPr="00FE3588" w:rsidRDefault="00FE3588" w:rsidP="00FE3588">
            <w:pPr>
              <w:spacing w:line="270" w:lineRule="atLeast"/>
              <w:rPr>
                <w:rFonts w:ascii="Georgia" w:eastAsia="Times New Roman" w:hAnsi="Georgia"/>
                <w:b/>
                <w:bCs/>
                <w:color w:val="000000"/>
                <w:sz w:val="18"/>
                <w:szCs w:val="18"/>
              </w:rPr>
            </w:pPr>
            <w:r w:rsidRPr="00FE3588">
              <w:rPr>
                <w:rFonts w:ascii="Georgia" w:eastAsia="Times New Roman" w:hAnsi="Georgia"/>
                <w:b/>
                <w:bCs/>
                <w:color w:val="000000"/>
                <w:sz w:val="18"/>
                <w:szCs w:val="18"/>
              </w:rPr>
              <w:t>Cell</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FE3588" w:rsidRPr="00FE3588" w:rsidRDefault="00FE3588" w:rsidP="00FE3588">
            <w:pPr>
              <w:spacing w:line="270" w:lineRule="atLeast"/>
              <w:rPr>
                <w:rFonts w:ascii="Georgia" w:eastAsia="Times New Roman" w:hAnsi="Georgia"/>
                <w:b/>
                <w:bCs/>
                <w:color w:val="000000"/>
                <w:sz w:val="18"/>
                <w:szCs w:val="18"/>
              </w:rPr>
            </w:pPr>
            <w:r w:rsidRPr="00FE3588">
              <w:rPr>
                <w:rFonts w:ascii="Georgia" w:eastAsia="Times New Roman" w:hAnsi="Georgia"/>
                <w:b/>
                <w:bCs/>
                <w:color w:val="000000"/>
                <w:sz w:val="18"/>
                <w:szCs w:val="18"/>
              </w:rPr>
              <w:t>Cell type</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FE3588" w:rsidRPr="00FE3588" w:rsidRDefault="00FE3588" w:rsidP="00FE3588">
            <w:pPr>
              <w:spacing w:line="270" w:lineRule="atLeast"/>
              <w:rPr>
                <w:rFonts w:ascii="Georgia" w:eastAsia="Times New Roman" w:hAnsi="Georgia"/>
                <w:b/>
                <w:bCs/>
                <w:color w:val="000000"/>
                <w:sz w:val="18"/>
                <w:szCs w:val="18"/>
              </w:rPr>
            </w:pPr>
            <w:r w:rsidRPr="00FE3588">
              <w:rPr>
                <w:rFonts w:ascii="Georgia" w:eastAsia="Times New Roman" w:hAnsi="Georgia"/>
                <w:b/>
                <w:bCs/>
                <w:color w:val="000000"/>
                <w:sz w:val="18"/>
                <w:szCs w:val="18"/>
              </w:rPr>
              <w:t>Primary location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35" w:type="dxa"/>
              <w:left w:w="360" w:type="dxa"/>
              <w:bottom w:w="135" w:type="dxa"/>
              <w:right w:w="360" w:type="dxa"/>
            </w:tcMar>
            <w:vAlign w:val="center"/>
            <w:hideMark/>
          </w:tcPr>
          <w:p w:rsidR="00FE3588" w:rsidRPr="00FE3588" w:rsidRDefault="00FE3588" w:rsidP="00FE3588">
            <w:pPr>
              <w:spacing w:line="270" w:lineRule="atLeast"/>
              <w:rPr>
                <w:rFonts w:ascii="Georgia" w:eastAsia="Times New Roman" w:hAnsi="Georgia"/>
                <w:b/>
                <w:bCs/>
                <w:color w:val="000000"/>
                <w:sz w:val="18"/>
                <w:szCs w:val="18"/>
              </w:rPr>
            </w:pPr>
            <w:r w:rsidRPr="00FE3588">
              <w:rPr>
                <w:rFonts w:ascii="Georgia" w:eastAsia="Times New Roman" w:hAnsi="Georgia"/>
                <w:b/>
                <w:bCs/>
                <w:color w:val="000000"/>
                <w:sz w:val="18"/>
                <w:szCs w:val="18"/>
              </w:rPr>
              <w:t>Function in the innate immune response</w:t>
            </w:r>
          </w:p>
        </w:tc>
      </w:tr>
      <w:tr w:rsidR="00FE3588" w:rsidRPr="00FE3588" w:rsidTr="00FE3588">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Macrophage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proofErr w:type="spellStart"/>
            <w:r w:rsidRPr="00FE3588">
              <w:rPr>
                <w:rFonts w:ascii="Georgia" w:eastAsia="Times New Roman" w:hAnsi="Georgia"/>
                <w:color w:val="000000"/>
                <w:sz w:val="32"/>
                <w:szCs w:val="32"/>
              </w:rPr>
              <w:t>Agranulocyte</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Body cavities/organs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Phagocytosis</w:t>
            </w:r>
          </w:p>
        </w:tc>
      </w:tr>
      <w:tr w:rsidR="00FE3588" w:rsidRPr="00FE3588" w:rsidTr="00FE3588">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Neutrophil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Granulocyte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Blood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Phagocytosis</w:t>
            </w:r>
          </w:p>
        </w:tc>
      </w:tr>
      <w:tr w:rsidR="00FE3588" w:rsidRPr="00FE3588" w:rsidTr="00FE3588">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Monocyte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proofErr w:type="spellStart"/>
            <w:r w:rsidRPr="00FE3588">
              <w:rPr>
                <w:rFonts w:ascii="Georgia" w:eastAsia="Times New Roman" w:hAnsi="Georgia"/>
                <w:color w:val="000000"/>
                <w:sz w:val="32"/>
                <w:szCs w:val="32"/>
              </w:rPr>
              <w:t>Agranulocyte</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Blood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FE3588" w:rsidRPr="00FE3588" w:rsidRDefault="00FE3588" w:rsidP="00FE3588">
            <w:pPr>
              <w:rPr>
                <w:rFonts w:ascii="Georgia" w:eastAsia="Times New Roman" w:hAnsi="Georgia"/>
                <w:color w:val="000000"/>
                <w:sz w:val="32"/>
                <w:szCs w:val="32"/>
              </w:rPr>
            </w:pPr>
            <w:r w:rsidRPr="00FE3588">
              <w:rPr>
                <w:rFonts w:ascii="Georgia" w:eastAsia="Times New Roman" w:hAnsi="Georgia"/>
                <w:color w:val="000000"/>
                <w:sz w:val="32"/>
                <w:szCs w:val="32"/>
              </w:rPr>
              <w:t>Precursor of macrophage/dendritic cell</w:t>
            </w:r>
          </w:p>
        </w:tc>
      </w:tr>
    </w:tbl>
    <w:p w:rsidR="00FE3588" w:rsidRDefault="00FE3588" w:rsidP="00774CD9">
      <w:pPr>
        <w:rPr>
          <w:sz w:val="72"/>
          <w:szCs w:val="72"/>
        </w:rPr>
      </w:pPr>
    </w:p>
    <w:p w:rsidR="00FE3588" w:rsidRDefault="00FE3588" w:rsidP="00774CD9">
      <w:pPr>
        <w:rPr>
          <w:sz w:val="72"/>
          <w:szCs w:val="72"/>
        </w:rPr>
      </w:pPr>
    </w:p>
    <w:p w:rsidR="00FE3588" w:rsidRDefault="00FE3588" w:rsidP="00774CD9">
      <w:pPr>
        <w:rPr>
          <w:sz w:val="72"/>
          <w:szCs w:val="72"/>
        </w:rPr>
      </w:pPr>
    </w:p>
    <w:p w:rsidR="00FE3588" w:rsidRDefault="00FE3588" w:rsidP="00774CD9">
      <w:pPr>
        <w:rPr>
          <w:sz w:val="72"/>
          <w:szCs w:val="72"/>
        </w:rPr>
      </w:pPr>
    </w:p>
    <w:p w:rsidR="00FE3588" w:rsidRDefault="00FE3588" w:rsidP="00774CD9">
      <w:pPr>
        <w:rPr>
          <w:sz w:val="72"/>
          <w:szCs w:val="72"/>
        </w:rPr>
      </w:pPr>
    </w:p>
    <w:p w:rsidR="00FE3588" w:rsidRDefault="00FE3588" w:rsidP="00774CD9">
      <w:pPr>
        <w:rPr>
          <w:sz w:val="72"/>
          <w:szCs w:val="72"/>
        </w:rPr>
      </w:pPr>
    </w:p>
    <w:p w:rsidR="00FE3588" w:rsidRDefault="00FE3588" w:rsidP="00774CD9">
      <w:pPr>
        <w:rPr>
          <w:sz w:val="72"/>
          <w:szCs w:val="72"/>
        </w:rPr>
      </w:pPr>
      <w:r>
        <w:rPr>
          <w:sz w:val="72"/>
          <w:szCs w:val="72"/>
        </w:rPr>
        <w:lastRenderedPageBreak/>
        <w:t>Natural Killer Cells</w:t>
      </w:r>
    </w:p>
    <w:p w:rsidR="00FE3588" w:rsidRDefault="00FE3588">
      <w:pPr>
        <w:rPr>
          <w:sz w:val="72"/>
          <w:szCs w:val="72"/>
        </w:rPr>
      </w:pPr>
      <w:r>
        <w:rPr>
          <w:sz w:val="72"/>
          <w:szCs w:val="72"/>
        </w:rPr>
        <w:br w:type="page"/>
      </w:r>
    </w:p>
    <w:p w:rsidR="00FE3588" w:rsidRDefault="00FE3588" w:rsidP="00774CD9">
      <w:pPr>
        <w:rPr>
          <w:sz w:val="72"/>
          <w:szCs w:val="72"/>
        </w:rPr>
      </w:pPr>
      <w:r>
        <w:rPr>
          <w:sz w:val="72"/>
          <w:szCs w:val="72"/>
        </w:rPr>
        <w:lastRenderedPageBreak/>
        <w:t>Chemical Signals</w:t>
      </w:r>
    </w:p>
    <w:p w:rsidR="00FE3588" w:rsidRDefault="00FE3588">
      <w:pPr>
        <w:rPr>
          <w:sz w:val="72"/>
          <w:szCs w:val="72"/>
        </w:rPr>
      </w:pPr>
      <w:r>
        <w:rPr>
          <w:sz w:val="72"/>
          <w:szCs w:val="72"/>
        </w:rPr>
        <w:br w:type="page"/>
      </w:r>
    </w:p>
    <w:p w:rsidR="00FE3588" w:rsidRDefault="00FE3588" w:rsidP="00774CD9">
      <w:pPr>
        <w:rPr>
          <w:sz w:val="72"/>
          <w:szCs w:val="72"/>
        </w:rPr>
      </w:pPr>
      <w:r>
        <w:rPr>
          <w:noProof/>
        </w:rPr>
        <w:lastRenderedPageBreak/>
        <w:drawing>
          <wp:inline distT="0" distB="0" distL="0" distR="0">
            <wp:extent cx="5943600" cy="6224060"/>
            <wp:effectExtent l="0" t="0" r="0" b="5715"/>
            <wp:docPr id="294" name="Picture 294" descr="This flow chart shows an invading pathogen and the series of events that results in the complement cascade and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flow chart shows an invading pathogen and the series of events that results in the complement cascade and func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224060"/>
                    </a:xfrm>
                    <a:prstGeom prst="rect">
                      <a:avLst/>
                    </a:prstGeom>
                    <a:noFill/>
                    <a:ln>
                      <a:noFill/>
                    </a:ln>
                  </pic:spPr>
                </pic:pic>
              </a:graphicData>
            </a:graphic>
          </wp:inline>
        </w:drawing>
      </w:r>
      <w:r>
        <w:rPr>
          <w:rFonts w:ascii="Georgia" w:hAnsi="Georgia"/>
          <w:color w:val="000000"/>
          <w:sz w:val="29"/>
          <w:szCs w:val="29"/>
          <w:shd w:val="clear" w:color="auto" w:fill="FFFFFF"/>
        </w:rPr>
        <w:t>Figure 2. Complement Cascade and Function. The classical pathway, used during adaptive immune responses, occurs when C1 reacts with antibodies that have bound an antigen.</w:t>
      </w:r>
    </w:p>
    <w:p w:rsidR="00FE3588" w:rsidRDefault="00FE3588">
      <w:pPr>
        <w:rPr>
          <w:sz w:val="72"/>
          <w:szCs w:val="72"/>
        </w:rPr>
      </w:pPr>
      <w:r>
        <w:rPr>
          <w:sz w:val="72"/>
          <w:szCs w:val="72"/>
        </w:rPr>
        <w:br w:type="page"/>
      </w:r>
    </w:p>
    <w:p w:rsidR="00774CD9" w:rsidRDefault="00774CD9" w:rsidP="00774CD9">
      <w:pPr>
        <w:rPr>
          <w:sz w:val="72"/>
          <w:szCs w:val="72"/>
        </w:rPr>
      </w:pPr>
      <w:r>
        <w:rPr>
          <w:sz w:val="72"/>
          <w:szCs w:val="72"/>
        </w:rPr>
        <w:lastRenderedPageBreak/>
        <w:t>Inflammation</w:t>
      </w:r>
    </w:p>
    <w:p w:rsidR="00774CD9" w:rsidRDefault="00774CD9" w:rsidP="00774CD9">
      <w:pPr>
        <w:rPr>
          <w:sz w:val="72"/>
          <w:szCs w:val="72"/>
        </w:rPr>
      </w:pPr>
      <w:r>
        <w:rPr>
          <w:sz w:val="72"/>
          <w:szCs w:val="72"/>
        </w:rPr>
        <w:br w:type="page"/>
      </w:r>
    </w:p>
    <w:p w:rsidR="00774CD9" w:rsidRDefault="00FE3588" w:rsidP="00774CD9">
      <w:pPr>
        <w:rPr>
          <w:sz w:val="72"/>
          <w:szCs w:val="72"/>
        </w:rPr>
      </w:pPr>
      <w:r>
        <w:rPr>
          <w:noProof/>
        </w:rPr>
        <w:lastRenderedPageBreak/>
        <w:drawing>
          <wp:inline distT="0" distB="0" distL="0" distR="0">
            <wp:extent cx="5943600" cy="6542363"/>
            <wp:effectExtent l="0" t="0" r="0" b="0"/>
            <wp:docPr id="295" name="Picture 295" descr="The top panel of this figure shows the mast cells detecting an injury and initiating an inflammatory response. The bottom panel shows the increase in blood flow in response to hist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top panel of this figure shows the mast cells detecting an injury and initiating an inflammatory response. The bottom panel shows the increase in blood flow in response to histam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542363"/>
                    </a:xfrm>
                    <a:prstGeom prst="rect">
                      <a:avLst/>
                    </a:prstGeom>
                    <a:noFill/>
                    <a:ln>
                      <a:noFill/>
                    </a:ln>
                  </pic:spPr>
                </pic:pic>
              </a:graphicData>
            </a:graphic>
          </wp:inline>
        </w:drawing>
      </w:r>
    </w:p>
    <w:p w:rsidR="00774CD9" w:rsidRDefault="00774CD9" w:rsidP="00774CD9">
      <w:pPr>
        <w:rPr>
          <w:sz w:val="72"/>
          <w:szCs w:val="72"/>
        </w:rPr>
      </w:pPr>
      <w:r>
        <w:rPr>
          <w:sz w:val="72"/>
          <w:szCs w:val="72"/>
        </w:rPr>
        <w:br w:type="page"/>
      </w:r>
    </w:p>
    <w:p w:rsidR="00774CD9" w:rsidRDefault="00774CD9" w:rsidP="00774CD9">
      <w:pPr>
        <w:rPr>
          <w:sz w:val="72"/>
          <w:szCs w:val="72"/>
        </w:rPr>
      </w:pPr>
      <w:r>
        <w:rPr>
          <w:sz w:val="72"/>
          <w:szCs w:val="72"/>
        </w:rPr>
        <w:lastRenderedPageBreak/>
        <w:t>Fever</w:t>
      </w:r>
    </w:p>
    <w:p w:rsidR="00774CD9" w:rsidRDefault="00774CD9" w:rsidP="00774CD9">
      <w:pPr>
        <w:rPr>
          <w:sz w:val="72"/>
          <w:szCs w:val="72"/>
        </w:rPr>
      </w:pPr>
      <w:r>
        <w:rPr>
          <w:sz w:val="72"/>
          <w:szCs w:val="72"/>
        </w:rPr>
        <w:br w:type="page"/>
      </w:r>
    </w:p>
    <w:p w:rsidR="00FE3588" w:rsidRDefault="0093020B">
      <w:pPr>
        <w:rPr>
          <w:sz w:val="72"/>
          <w:szCs w:val="72"/>
        </w:rPr>
      </w:pPr>
      <w:r>
        <w:rPr>
          <w:sz w:val="72"/>
          <w:szCs w:val="72"/>
        </w:rPr>
        <w:lastRenderedPageBreak/>
        <w:t>Adaptive Defenses</w:t>
      </w:r>
    </w:p>
    <w:p w:rsidR="00FE3588" w:rsidRDefault="00FE3588">
      <w:pPr>
        <w:rPr>
          <w:sz w:val="72"/>
          <w:szCs w:val="72"/>
        </w:rPr>
      </w:pPr>
      <w:r>
        <w:rPr>
          <w:sz w:val="72"/>
          <w:szCs w:val="72"/>
        </w:rPr>
        <w:br w:type="page"/>
      </w:r>
    </w:p>
    <w:p w:rsidR="00F47595" w:rsidRDefault="00081E36">
      <w:pPr>
        <w:rPr>
          <w:sz w:val="72"/>
          <w:szCs w:val="72"/>
        </w:rPr>
      </w:pPr>
      <w:r>
        <w:rPr>
          <w:noProof/>
        </w:rPr>
        <w:lastRenderedPageBreak/>
        <w:drawing>
          <wp:inline distT="0" distB="0" distL="0" distR="0">
            <wp:extent cx="5943600" cy="4833179"/>
            <wp:effectExtent l="0" t="0" r="0" b="5715"/>
            <wp:docPr id="296" name="Picture 296" descr="This figure shows three T cells and the antigenic determinants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figure shows three T cells and the antigenic determinants in the cen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833179"/>
                    </a:xfrm>
                    <a:prstGeom prst="rect">
                      <a:avLst/>
                    </a:prstGeom>
                    <a:noFill/>
                    <a:ln>
                      <a:noFill/>
                    </a:ln>
                  </pic:spPr>
                </pic:pic>
              </a:graphicData>
            </a:graphic>
          </wp:inline>
        </w:drawing>
      </w:r>
    </w:p>
    <w:p w:rsidR="00F47595" w:rsidRDefault="00081E36">
      <w:pPr>
        <w:rPr>
          <w:sz w:val="72"/>
          <w:szCs w:val="72"/>
        </w:rPr>
      </w:pPr>
      <w:r>
        <w:rPr>
          <w:rFonts w:ascii="Georgia" w:hAnsi="Georgia"/>
          <w:color w:val="000000"/>
          <w:sz w:val="29"/>
          <w:szCs w:val="29"/>
          <w:shd w:val="clear" w:color="auto" w:fill="FFFFFF"/>
        </w:rPr>
        <w:t>Figure 2. Antigenic Determinants. A typical protein antigen has multiple antigenic determinants, shown by the ability of T cells with three different specificities to bind to different parts of the same antigen.</w:t>
      </w:r>
    </w:p>
    <w:p w:rsidR="0093020B" w:rsidRDefault="0093020B">
      <w:pPr>
        <w:rPr>
          <w:sz w:val="72"/>
          <w:szCs w:val="72"/>
        </w:rPr>
      </w:pPr>
    </w:p>
    <w:p w:rsidR="00542C34" w:rsidRDefault="0093020B">
      <w:pPr>
        <w:rPr>
          <w:sz w:val="72"/>
          <w:szCs w:val="72"/>
        </w:rPr>
      </w:pPr>
      <w:r>
        <w:rPr>
          <w:sz w:val="72"/>
          <w:szCs w:val="72"/>
        </w:rPr>
        <w:br w:type="page"/>
      </w:r>
    </w:p>
    <w:p w:rsidR="00542C34" w:rsidRDefault="00081E36">
      <w:pPr>
        <w:rPr>
          <w:sz w:val="72"/>
          <w:szCs w:val="72"/>
        </w:rPr>
      </w:pPr>
      <w:r>
        <w:rPr>
          <w:noProof/>
          <w:sz w:val="72"/>
          <w:szCs w:val="72"/>
        </w:rPr>
        <w:lastRenderedPageBreak/>
        <w:t>T-Cells</w:t>
      </w:r>
      <w:r w:rsidR="00542C34">
        <w:rPr>
          <w:sz w:val="72"/>
          <w:szCs w:val="72"/>
        </w:rPr>
        <w:br w:type="page"/>
      </w:r>
    </w:p>
    <w:p w:rsidR="00081E36" w:rsidRDefault="00081E36">
      <w:pPr>
        <w:rPr>
          <w:sz w:val="72"/>
          <w:szCs w:val="72"/>
        </w:rPr>
      </w:pPr>
      <w:r>
        <w:rPr>
          <w:sz w:val="72"/>
          <w:szCs w:val="72"/>
        </w:rPr>
        <w:lastRenderedPageBreak/>
        <w:t>MHC Proteins</w:t>
      </w:r>
    </w:p>
    <w:p w:rsidR="00081E36" w:rsidRDefault="00081E36">
      <w:pPr>
        <w:rPr>
          <w:sz w:val="72"/>
          <w:szCs w:val="72"/>
        </w:rPr>
      </w:pPr>
      <w:r>
        <w:rPr>
          <w:sz w:val="72"/>
          <w:szCs w:val="72"/>
        </w:rPr>
        <w:br w:type="page"/>
      </w:r>
    </w:p>
    <w:tbl>
      <w:tblPr>
        <w:tblW w:w="10785" w:type="dxa"/>
        <w:tblInd w:w="-721" w:type="dxa"/>
        <w:tblBorders>
          <w:top w:val="single" w:sz="6" w:space="0" w:color="E7E7E7"/>
          <w:left w:val="single" w:sz="6" w:space="0" w:color="E7E7E7"/>
          <w:bottom w:val="single" w:sz="6" w:space="0" w:color="E7E7E7"/>
          <w:right w:val="single" w:sz="6" w:space="0" w:color="E7E7E7"/>
        </w:tblBorders>
        <w:shd w:val="clear" w:color="auto" w:fill="FFFFFF"/>
        <w:tblCellMar>
          <w:left w:w="0" w:type="dxa"/>
          <w:right w:w="0" w:type="dxa"/>
        </w:tblCellMar>
        <w:tblLook w:val="04A0" w:firstRow="1" w:lastRow="0" w:firstColumn="1" w:lastColumn="0" w:noHBand="0" w:noVBand="1"/>
        <w:tblDescription w:val=""/>
      </w:tblPr>
      <w:tblGrid>
        <w:gridCol w:w="1509"/>
        <w:gridCol w:w="2475"/>
        <w:gridCol w:w="3011"/>
        <w:gridCol w:w="3790"/>
      </w:tblGrid>
      <w:tr w:rsidR="00081E36" w:rsidRPr="00081E36" w:rsidTr="00081E36">
        <w:trPr>
          <w:tblHeader/>
        </w:trPr>
        <w:tc>
          <w:tcPr>
            <w:tcW w:w="0" w:type="auto"/>
            <w:gridSpan w:val="4"/>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081E36" w:rsidRPr="00081E36" w:rsidRDefault="00081E36" w:rsidP="00081E36">
            <w:pPr>
              <w:spacing w:line="270" w:lineRule="atLeast"/>
              <w:rPr>
                <w:rFonts w:ascii="Georgia" w:eastAsia="Times New Roman" w:hAnsi="Georgia"/>
                <w:b/>
                <w:bCs/>
                <w:color w:val="000000"/>
                <w:sz w:val="18"/>
                <w:szCs w:val="18"/>
              </w:rPr>
            </w:pPr>
            <w:r w:rsidRPr="00081E36">
              <w:rPr>
                <w:rFonts w:ascii="Georgia" w:eastAsia="Times New Roman" w:hAnsi="Georgia"/>
                <w:b/>
                <w:bCs/>
                <w:color w:val="000000"/>
                <w:sz w:val="18"/>
                <w:szCs w:val="18"/>
              </w:rPr>
              <w:lastRenderedPageBreak/>
              <w:t>Classes of Antigen-presenting Cells (Table 4)</w:t>
            </w:r>
          </w:p>
        </w:tc>
      </w:tr>
      <w:tr w:rsidR="00081E36" w:rsidRPr="00081E36" w:rsidTr="00081E36">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081E36" w:rsidRPr="00081E36" w:rsidRDefault="00081E36" w:rsidP="00081E36">
            <w:pPr>
              <w:spacing w:line="270" w:lineRule="atLeast"/>
              <w:rPr>
                <w:rFonts w:ascii="Georgia" w:eastAsia="Times New Roman" w:hAnsi="Georgia"/>
                <w:b/>
                <w:bCs/>
                <w:color w:val="000000"/>
                <w:sz w:val="18"/>
                <w:szCs w:val="18"/>
              </w:rPr>
            </w:pPr>
            <w:r w:rsidRPr="00081E36">
              <w:rPr>
                <w:rFonts w:ascii="Georgia" w:eastAsia="Times New Roman" w:hAnsi="Georgia"/>
                <w:b/>
                <w:bCs/>
                <w:color w:val="000000"/>
                <w:sz w:val="18"/>
                <w:szCs w:val="18"/>
              </w:rPr>
              <w:t>MHC</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081E36" w:rsidRPr="00081E36" w:rsidRDefault="00081E36" w:rsidP="00081E36">
            <w:pPr>
              <w:spacing w:line="270" w:lineRule="atLeast"/>
              <w:rPr>
                <w:rFonts w:ascii="Georgia" w:eastAsia="Times New Roman" w:hAnsi="Georgia"/>
                <w:b/>
                <w:bCs/>
                <w:color w:val="000000"/>
                <w:sz w:val="18"/>
                <w:szCs w:val="18"/>
              </w:rPr>
            </w:pPr>
            <w:r w:rsidRPr="00081E36">
              <w:rPr>
                <w:rFonts w:ascii="Georgia" w:eastAsia="Times New Roman" w:hAnsi="Georgia"/>
                <w:b/>
                <w:bCs/>
                <w:color w:val="000000"/>
                <w:sz w:val="18"/>
                <w:szCs w:val="18"/>
              </w:rPr>
              <w:t>Cell type</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081E36" w:rsidRPr="00081E36" w:rsidRDefault="00081E36" w:rsidP="00081E36">
            <w:pPr>
              <w:spacing w:line="270" w:lineRule="atLeast"/>
              <w:rPr>
                <w:rFonts w:ascii="Georgia" w:eastAsia="Times New Roman" w:hAnsi="Georgia"/>
                <w:b/>
                <w:bCs/>
                <w:color w:val="000000"/>
                <w:sz w:val="18"/>
                <w:szCs w:val="18"/>
              </w:rPr>
            </w:pPr>
            <w:r w:rsidRPr="00081E36">
              <w:rPr>
                <w:rFonts w:ascii="Georgia" w:eastAsia="Times New Roman" w:hAnsi="Georgia"/>
                <w:b/>
                <w:bCs/>
                <w:color w:val="000000"/>
                <w:sz w:val="18"/>
                <w:szCs w:val="18"/>
              </w:rPr>
              <w:t>Phagocytic?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35" w:type="dxa"/>
              <w:left w:w="360" w:type="dxa"/>
              <w:bottom w:w="135" w:type="dxa"/>
              <w:right w:w="360" w:type="dxa"/>
            </w:tcMar>
            <w:vAlign w:val="center"/>
            <w:hideMark/>
          </w:tcPr>
          <w:p w:rsidR="00081E36" w:rsidRPr="00081E36" w:rsidRDefault="00081E36" w:rsidP="00081E36">
            <w:pPr>
              <w:spacing w:line="270" w:lineRule="atLeast"/>
              <w:rPr>
                <w:rFonts w:ascii="Georgia" w:eastAsia="Times New Roman" w:hAnsi="Georgia"/>
                <w:b/>
                <w:bCs/>
                <w:color w:val="000000"/>
                <w:sz w:val="18"/>
                <w:szCs w:val="18"/>
              </w:rPr>
            </w:pPr>
            <w:r w:rsidRPr="00081E36">
              <w:rPr>
                <w:rFonts w:ascii="Georgia" w:eastAsia="Times New Roman" w:hAnsi="Georgia"/>
                <w:b/>
                <w:bCs/>
                <w:color w:val="000000"/>
                <w:sz w:val="18"/>
                <w:szCs w:val="18"/>
              </w:rPr>
              <w:t>Function</w:t>
            </w:r>
          </w:p>
        </w:tc>
      </w:tr>
      <w:tr w:rsidR="00081E36" w:rsidRPr="00081E36" w:rsidTr="00081E36">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81E36" w:rsidRPr="00081E36" w:rsidRDefault="00081E36" w:rsidP="00081E36">
            <w:pPr>
              <w:rPr>
                <w:rFonts w:ascii="Georgia" w:eastAsia="Times New Roman" w:hAnsi="Georgia"/>
                <w:color w:val="000000"/>
                <w:sz w:val="32"/>
                <w:szCs w:val="32"/>
              </w:rPr>
            </w:pPr>
            <w:r w:rsidRPr="00081E36">
              <w:rPr>
                <w:rFonts w:ascii="Georgia" w:eastAsia="Times New Roman" w:hAnsi="Georgia"/>
                <w:color w:val="000000"/>
                <w:sz w:val="32"/>
                <w:szCs w:val="32"/>
              </w:rPr>
              <w:t>Class 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81E36" w:rsidRPr="00081E36" w:rsidRDefault="00081E36" w:rsidP="00081E36">
            <w:pPr>
              <w:rPr>
                <w:rFonts w:ascii="Georgia" w:eastAsia="Times New Roman" w:hAnsi="Georgia"/>
                <w:color w:val="000000"/>
                <w:sz w:val="32"/>
                <w:szCs w:val="32"/>
              </w:rPr>
            </w:pPr>
            <w:r w:rsidRPr="00081E36">
              <w:rPr>
                <w:rFonts w:ascii="Georgia" w:eastAsia="Times New Roman" w:hAnsi="Georgia"/>
                <w:color w:val="000000"/>
                <w:sz w:val="32"/>
                <w:szCs w:val="32"/>
              </w:rPr>
              <w:t>Many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81E36" w:rsidRPr="00081E36" w:rsidRDefault="00081E36" w:rsidP="00081E36">
            <w:pPr>
              <w:rPr>
                <w:rFonts w:ascii="Georgia" w:eastAsia="Times New Roman" w:hAnsi="Georgia"/>
                <w:color w:val="000000"/>
                <w:sz w:val="32"/>
                <w:szCs w:val="32"/>
              </w:rPr>
            </w:pPr>
            <w:r w:rsidRPr="00081E36">
              <w:rPr>
                <w:rFonts w:ascii="Georgia" w:eastAsia="Times New Roman" w:hAnsi="Georgia"/>
                <w:color w:val="000000"/>
                <w:sz w:val="32"/>
                <w:szCs w:val="32"/>
              </w:rPr>
              <w:t>No</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81E36" w:rsidRPr="00081E36" w:rsidRDefault="00081E36" w:rsidP="00081E36">
            <w:pPr>
              <w:rPr>
                <w:rFonts w:ascii="Georgia" w:eastAsia="Times New Roman" w:hAnsi="Georgia"/>
                <w:color w:val="000000"/>
                <w:sz w:val="32"/>
                <w:szCs w:val="32"/>
              </w:rPr>
            </w:pPr>
            <w:r w:rsidRPr="00081E36">
              <w:rPr>
                <w:rFonts w:ascii="Georgia" w:eastAsia="Times New Roman" w:hAnsi="Georgia"/>
                <w:color w:val="000000"/>
                <w:sz w:val="32"/>
                <w:szCs w:val="32"/>
              </w:rPr>
              <w:t>Stimulates cytotoxic T cell immune response</w:t>
            </w:r>
          </w:p>
        </w:tc>
      </w:tr>
      <w:tr w:rsidR="00081E36" w:rsidRPr="00081E36" w:rsidTr="00081E36">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81E36" w:rsidRPr="00081E36" w:rsidRDefault="00081E36" w:rsidP="00081E36">
            <w:pPr>
              <w:rPr>
                <w:rFonts w:ascii="Georgia" w:eastAsia="Times New Roman" w:hAnsi="Georgia"/>
                <w:color w:val="000000"/>
                <w:sz w:val="32"/>
                <w:szCs w:val="32"/>
              </w:rPr>
            </w:pPr>
            <w:r w:rsidRPr="00081E36">
              <w:rPr>
                <w:rFonts w:ascii="Georgia" w:eastAsia="Times New Roman" w:hAnsi="Georgia"/>
                <w:color w:val="000000"/>
                <w:sz w:val="32"/>
                <w:szCs w:val="32"/>
              </w:rPr>
              <w:t>Class II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81E36" w:rsidRPr="00081E36" w:rsidRDefault="00081E36" w:rsidP="00081E36">
            <w:pPr>
              <w:rPr>
                <w:rFonts w:ascii="Georgia" w:eastAsia="Times New Roman" w:hAnsi="Georgia"/>
                <w:color w:val="000000"/>
                <w:sz w:val="32"/>
                <w:szCs w:val="32"/>
              </w:rPr>
            </w:pPr>
            <w:r w:rsidRPr="00081E36">
              <w:rPr>
                <w:rFonts w:ascii="Georgia" w:eastAsia="Times New Roman" w:hAnsi="Georgia"/>
                <w:color w:val="000000"/>
                <w:sz w:val="32"/>
                <w:szCs w:val="32"/>
              </w:rPr>
              <w:t>Macrophage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81E36" w:rsidRPr="00081E36" w:rsidRDefault="00081E36" w:rsidP="00081E36">
            <w:pPr>
              <w:rPr>
                <w:rFonts w:ascii="Georgia" w:eastAsia="Times New Roman" w:hAnsi="Georgia"/>
                <w:color w:val="000000"/>
                <w:sz w:val="32"/>
                <w:szCs w:val="32"/>
              </w:rPr>
            </w:pPr>
            <w:r w:rsidRPr="00081E36">
              <w:rPr>
                <w:rFonts w:ascii="Georgia" w:eastAsia="Times New Roman" w:hAnsi="Georgia"/>
                <w:color w:val="000000"/>
                <w:sz w:val="32"/>
                <w:szCs w:val="32"/>
              </w:rPr>
              <w:t>Yes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81E36" w:rsidRPr="00081E36" w:rsidRDefault="00081E36" w:rsidP="00081E36">
            <w:pPr>
              <w:rPr>
                <w:rFonts w:ascii="Georgia" w:eastAsia="Times New Roman" w:hAnsi="Georgia"/>
                <w:color w:val="000000"/>
                <w:sz w:val="32"/>
                <w:szCs w:val="32"/>
              </w:rPr>
            </w:pPr>
            <w:r w:rsidRPr="00081E36">
              <w:rPr>
                <w:rFonts w:ascii="Georgia" w:eastAsia="Times New Roman" w:hAnsi="Georgia"/>
                <w:color w:val="000000"/>
                <w:sz w:val="32"/>
                <w:szCs w:val="32"/>
              </w:rPr>
              <w:t>Stimulates phagocytosis and presentation at primary infection site</w:t>
            </w:r>
          </w:p>
        </w:tc>
      </w:tr>
      <w:tr w:rsidR="00081E36" w:rsidRPr="00081E36" w:rsidTr="00081E36">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81E36" w:rsidRPr="00081E36" w:rsidRDefault="00081E36" w:rsidP="00081E36">
            <w:pPr>
              <w:rPr>
                <w:rFonts w:ascii="Georgia" w:eastAsia="Times New Roman" w:hAnsi="Georgia"/>
                <w:color w:val="000000"/>
                <w:sz w:val="32"/>
                <w:szCs w:val="32"/>
              </w:rPr>
            </w:pPr>
            <w:r w:rsidRPr="00081E36">
              <w:rPr>
                <w:rFonts w:ascii="Georgia" w:eastAsia="Times New Roman" w:hAnsi="Georgia"/>
                <w:color w:val="000000"/>
                <w:sz w:val="32"/>
                <w:szCs w:val="32"/>
              </w:rPr>
              <w:t>Class II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81E36" w:rsidRPr="00081E36" w:rsidRDefault="00081E36" w:rsidP="00081E36">
            <w:pPr>
              <w:rPr>
                <w:rFonts w:ascii="Georgia" w:eastAsia="Times New Roman" w:hAnsi="Georgia"/>
                <w:color w:val="000000"/>
                <w:sz w:val="32"/>
                <w:szCs w:val="32"/>
              </w:rPr>
            </w:pPr>
            <w:r w:rsidRPr="00081E36">
              <w:rPr>
                <w:rFonts w:ascii="Georgia" w:eastAsia="Times New Roman" w:hAnsi="Georgia"/>
                <w:color w:val="000000"/>
                <w:sz w:val="32"/>
                <w:szCs w:val="32"/>
              </w:rPr>
              <w:t>Dendritic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81E36" w:rsidRPr="00081E36" w:rsidRDefault="00081E36" w:rsidP="00081E36">
            <w:pPr>
              <w:rPr>
                <w:rFonts w:ascii="Georgia" w:eastAsia="Times New Roman" w:hAnsi="Georgia"/>
                <w:color w:val="000000"/>
                <w:sz w:val="32"/>
                <w:szCs w:val="32"/>
              </w:rPr>
            </w:pPr>
            <w:r w:rsidRPr="00081E36">
              <w:rPr>
                <w:rFonts w:ascii="Georgia" w:eastAsia="Times New Roman" w:hAnsi="Georgia"/>
                <w:color w:val="000000"/>
                <w:sz w:val="32"/>
                <w:szCs w:val="32"/>
              </w:rPr>
              <w:t>Yes, in tissues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81E36" w:rsidRPr="00081E36" w:rsidRDefault="00081E36" w:rsidP="00081E36">
            <w:pPr>
              <w:rPr>
                <w:rFonts w:ascii="Georgia" w:eastAsia="Times New Roman" w:hAnsi="Georgia"/>
                <w:color w:val="000000"/>
                <w:sz w:val="32"/>
                <w:szCs w:val="32"/>
              </w:rPr>
            </w:pPr>
            <w:r w:rsidRPr="00081E36">
              <w:rPr>
                <w:rFonts w:ascii="Georgia" w:eastAsia="Times New Roman" w:hAnsi="Georgia"/>
                <w:color w:val="000000"/>
                <w:sz w:val="32"/>
                <w:szCs w:val="32"/>
              </w:rPr>
              <w:t>Brings antigens to regional lymph nodes</w:t>
            </w:r>
          </w:p>
        </w:tc>
      </w:tr>
      <w:tr w:rsidR="00081E36" w:rsidRPr="00081E36" w:rsidTr="00081E36">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81E36" w:rsidRPr="00081E36" w:rsidRDefault="00081E36" w:rsidP="00081E36">
            <w:pPr>
              <w:rPr>
                <w:rFonts w:ascii="Georgia" w:eastAsia="Times New Roman" w:hAnsi="Georgia"/>
                <w:color w:val="000000"/>
                <w:sz w:val="32"/>
                <w:szCs w:val="32"/>
              </w:rPr>
            </w:pPr>
            <w:r w:rsidRPr="00081E36">
              <w:rPr>
                <w:rFonts w:ascii="Georgia" w:eastAsia="Times New Roman" w:hAnsi="Georgia"/>
                <w:color w:val="000000"/>
                <w:sz w:val="32"/>
                <w:szCs w:val="32"/>
              </w:rPr>
              <w:t>Class II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81E36" w:rsidRPr="00081E36" w:rsidRDefault="00081E36" w:rsidP="00081E36">
            <w:pPr>
              <w:rPr>
                <w:rFonts w:ascii="Georgia" w:eastAsia="Times New Roman" w:hAnsi="Georgia"/>
                <w:color w:val="000000"/>
                <w:sz w:val="32"/>
                <w:szCs w:val="32"/>
              </w:rPr>
            </w:pPr>
            <w:r w:rsidRPr="00081E36">
              <w:rPr>
                <w:rFonts w:ascii="Georgia" w:eastAsia="Times New Roman" w:hAnsi="Georgia"/>
                <w:color w:val="000000"/>
                <w:sz w:val="32"/>
                <w:szCs w:val="32"/>
              </w:rPr>
              <w:t>B cell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81E36" w:rsidRPr="00081E36" w:rsidRDefault="00081E36" w:rsidP="00081E36">
            <w:pPr>
              <w:rPr>
                <w:rFonts w:ascii="Georgia" w:eastAsia="Times New Roman" w:hAnsi="Georgia"/>
                <w:color w:val="000000"/>
                <w:sz w:val="32"/>
                <w:szCs w:val="32"/>
              </w:rPr>
            </w:pPr>
            <w:r w:rsidRPr="00081E36">
              <w:rPr>
                <w:rFonts w:ascii="Georgia" w:eastAsia="Times New Roman" w:hAnsi="Georgia"/>
                <w:color w:val="000000"/>
                <w:sz w:val="32"/>
                <w:szCs w:val="32"/>
              </w:rPr>
              <w:t>Yes, internalizes surface Ig and antigen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081E36" w:rsidRPr="00081E36" w:rsidRDefault="00081E36" w:rsidP="00081E36">
            <w:pPr>
              <w:rPr>
                <w:rFonts w:ascii="Georgia" w:eastAsia="Times New Roman" w:hAnsi="Georgia"/>
                <w:color w:val="000000"/>
                <w:sz w:val="32"/>
                <w:szCs w:val="32"/>
              </w:rPr>
            </w:pPr>
            <w:r w:rsidRPr="00081E36">
              <w:rPr>
                <w:rFonts w:ascii="Georgia" w:eastAsia="Times New Roman" w:hAnsi="Georgia"/>
                <w:color w:val="000000"/>
                <w:sz w:val="32"/>
                <w:szCs w:val="32"/>
              </w:rPr>
              <w:t>Stimulates antibody secretion by B cells</w:t>
            </w:r>
          </w:p>
        </w:tc>
      </w:tr>
    </w:tbl>
    <w:p w:rsidR="00081E36" w:rsidRDefault="00081E36">
      <w:pPr>
        <w:rPr>
          <w:sz w:val="72"/>
          <w:szCs w:val="72"/>
        </w:rPr>
      </w:pPr>
      <w:r>
        <w:rPr>
          <w:sz w:val="72"/>
          <w:szCs w:val="72"/>
        </w:rPr>
        <w:br w:type="page"/>
      </w:r>
    </w:p>
    <w:p w:rsidR="00081E36" w:rsidRDefault="00081E36">
      <w:pPr>
        <w:rPr>
          <w:sz w:val="72"/>
          <w:szCs w:val="72"/>
        </w:rPr>
      </w:pPr>
      <w:r>
        <w:rPr>
          <w:sz w:val="72"/>
          <w:szCs w:val="72"/>
        </w:rPr>
        <w:lastRenderedPageBreak/>
        <w:t>Antigen Presentation</w:t>
      </w:r>
    </w:p>
    <w:p w:rsidR="0093020B" w:rsidRDefault="00081E36">
      <w:pPr>
        <w:rPr>
          <w:sz w:val="72"/>
          <w:szCs w:val="72"/>
        </w:rPr>
      </w:pPr>
      <w:r>
        <w:rPr>
          <w:noProof/>
        </w:rPr>
        <w:drawing>
          <wp:inline distT="0" distB="0" distL="0" distR="0">
            <wp:extent cx="5943600" cy="4689543"/>
            <wp:effectExtent l="0" t="0" r="0" b="0"/>
            <wp:docPr id="297" name="Picture 297" descr="This figure shows how an antigen-presenting cell deals with a pathogen or extracellular antigen. The different steps are shown with text call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figure shows how an antigen-presenting cell deals with a pathogen or extracellular antigen. The different steps are shown with text callou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689543"/>
                    </a:xfrm>
                    <a:prstGeom prst="rect">
                      <a:avLst/>
                    </a:prstGeom>
                    <a:noFill/>
                    <a:ln>
                      <a:noFill/>
                    </a:ln>
                  </pic:spPr>
                </pic:pic>
              </a:graphicData>
            </a:graphic>
          </wp:inline>
        </w:drawing>
      </w:r>
    </w:p>
    <w:p w:rsidR="0093020B" w:rsidRDefault="0093020B">
      <w:pPr>
        <w:rPr>
          <w:noProof/>
          <w:sz w:val="72"/>
          <w:szCs w:val="72"/>
        </w:rPr>
      </w:pPr>
    </w:p>
    <w:p w:rsidR="0093020B" w:rsidRDefault="0093020B">
      <w:pPr>
        <w:rPr>
          <w:noProof/>
          <w:sz w:val="72"/>
          <w:szCs w:val="72"/>
        </w:rPr>
      </w:pPr>
      <w:r>
        <w:rPr>
          <w:noProof/>
          <w:sz w:val="72"/>
          <w:szCs w:val="72"/>
        </w:rPr>
        <w:br w:type="page"/>
      </w:r>
    </w:p>
    <w:p w:rsidR="00081E36" w:rsidRDefault="00081E36" w:rsidP="005B7891">
      <w:pPr>
        <w:rPr>
          <w:sz w:val="72"/>
          <w:szCs w:val="72"/>
        </w:rPr>
      </w:pPr>
      <w:r>
        <w:rPr>
          <w:sz w:val="72"/>
          <w:szCs w:val="72"/>
        </w:rPr>
        <w:lastRenderedPageBreak/>
        <w:t>T-Cell Differentiation</w:t>
      </w:r>
    </w:p>
    <w:p w:rsidR="00081E36" w:rsidRDefault="00081E36">
      <w:pPr>
        <w:rPr>
          <w:sz w:val="72"/>
          <w:szCs w:val="72"/>
        </w:rPr>
      </w:pPr>
      <w:r>
        <w:rPr>
          <w:sz w:val="72"/>
          <w:szCs w:val="72"/>
        </w:rPr>
        <w:br w:type="page"/>
      </w:r>
    </w:p>
    <w:p w:rsidR="00D04083" w:rsidRDefault="00D04083" w:rsidP="005B7891">
      <w:pPr>
        <w:rPr>
          <w:noProof/>
        </w:rPr>
      </w:pPr>
    </w:p>
    <w:p w:rsidR="00081E36" w:rsidRDefault="00081E36" w:rsidP="005B7891">
      <w:pPr>
        <w:rPr>
          <w:sz w:val="72"/>
          <w:szCs w:val="72"/>
        </w:rPr>
      </w:pPr>
      <w:r>
        <w:rPr>
          <w:noProof/>
        </w:rPr>
        <w:drawing>
          <wp:anchor distT="0" distB="0" distL="114300" distR="114300" simplePos="0" relativeHeight="251674624" behindDoc="0" locked="0" layoutInCell="1" allowOverlap="1">
            <wp:simplePos x="914400" y="1066800"/>
            <wp:positionH relativeFrom="margin">
              <wp:align>center</wp:align>
            </wp:positionH>
            <wp:positionV relativeFrom="margin">
              <wp:align>top</wp:align>
            </wp:positionV>
            <wp:extent cx="7131389" cy="3571875"/>
            <wp:effectExtent l="0" t="0" r="0" b="0"/>
            <wp:wrapSquare wrapText="bothSides"/>
            <wp:docPr id="298" name="Picture 298" descr="This multipart figure shows the different steps in the differentiation of a thymocyte into T cells. For each step of the process, accompanying text details the steps in the process. The right panel of this image shows the location of the different steps in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multipart figure shows the different steps in the differentiation of a thymocyte into T cells. For each step of the process, accompanying text details the steps in the process. The right panel of this image shows the location of the different steps in the process."/>
                    <pic:cNvPicPr>
                      <a:picLocks noChangeAspect="1" noChangeArrowheads="1"/>
                    </pic:cNvPicPr>
                  </pic:nvPicPr>
                  <pic:blipFill rotWithShape="1">
                    <a:blip r:embed="rId11">
                      <a:extLst>
                        <a:ext uri="{28A0092B-C50C-407E-A947-70E740481C1C}">
                          <a14:useLocalDpi xmlns:a14="http://schemas.microsoft.com/office/drawing/2010/main" val="0"/>
                        </a:ext>
                      </a:extLst>
                    </a:blip>
                    <a:srcRect r="1307" b="61980"/>
                    <a:stretch/>
                  </pic:blipFill>
                  <pic:spPr bwMode="auto">
                    <a:xfrm>
                      <a:off x="0" y="0"/>
                      <a:ext cx="7131389" cy="35718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Georgia" w:hAnsi="Georgia"/>
          <w:color w:val="000000"/>
          <w:sz w:val="29"/>
          <w:szCs w:val="29"/>
          <w:shd w:val="clear" w:color="auto" w:fill="FFFFFF"/>
        </w:rPr>
        <w:t xml:space="preserve">Figure 4. Differentiation of T Cells within the Thymus. </w:t>
      </w:r>
      <w:proofErr w:type="spellStart"/>
      <w:r>
        <w:rPr>
          <w:rFonts w:ascii="Georgia" w:hAnsi="Georgia"/>
          <w:color w:val="000000"/>
          <w:sz w:val="29"/>
          <w:szCs w:val="29"/>
          <w:shd w:val="clear" w:color="auto" w:fill="FFFFFF"/>
        </w:rPr>
        <w:t>Thymocytes</w:t>
      </w:r>
      <w:proofErr w:type="spellEnd"/>
      <w:r>
        <w:rPr>
          <w:rFonts w:ascii="Georgia" w:hAnsi="Georgia"/>
          <w:color w:val="000000"/>
          <w:sz w:val="29"/>
          <w:szCs w:val="29"/>
          <w:shd w:val="clear" w:color="auto" w:fill="FFFFFF"/>
        </w:rPr>
        <w:t xml:space="preserve"> enter the thymus and go through a series of developmental stages that ensures both function and tolerance before they leave and become functional components of the adaptive immune response.</w:t>
      </w:r>
    </w:p>
    <w:p w:rsidR="00D04083" w:rsidRDefault="00081E36">
      <w:pPr>
        <w:rPr>
          <w:noProof/>
        </w:rPr>
      </w:pPr>
      <w:r>
        <w:rPr>
          <w:sz w:val="72"/>
          <w:szCs w:val="72"/>
        </w:rPr>
        <w:br w:type="page"/>
      </w:r>
    </w:p>
    <w:p w:rsidR="00D04083" w:rsidRDefault="00D04083">
      <w:pPr>
        <w:rPr>
          <w:sz w:val="72"/>
          <w:szCs w:val="72"/>
        </w:rPr>
      </w:pPr>
      <w:r>
        <w:rPr>
          <w:noProof/>
        </w:rPr>
        <w:lastRenderedPageBreak/>
        <w:drawing>
          <wp:anchor distT="0" distB="0" distL="114300" distR="114300" simplePos="0" relativeHeight="251675648" behindDoc="0" locked="0" layoutInCell="1" allowOverlap="1">
            <wp:simplePos x="914400" y="914400"/>
            <wp:positionH relativeFrom="margin">
              <wp:align>center</wp:align>
            </wp:positionH>
            <wp:positionV relativeFrom="margin">
              <wp:align>top</wp:align>
            </wp:positionV>
            <wp:extent cx="7388960" cy="6877050"/>
            <wp:effectExtent l="0" t="0" r="2540" b="0"/>
            <wp:wrapSquare wrapText="bothSides"/>
            <wp:docPr id="1" name="Picture 1" descr="This multipart figure shows the different steps in the differentiation of a thymocyte into T cells. For each step of the process, accompanying text details the steps in the process. The right panel of this image shows the location of the different steps in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multipart figure shows the different steps in the differentiation of a thymocyte into T cells. For each step of the process, accompanying text details the steps in the process. The right panel of this image shows the location of the different steps in the process."/>
                    <pic:cNvPicPr>
                      <a:picLocks noChangeAspect="1" noChangeArrowheads="1"/>
                    </pic:cNvPicPr>
                  </pic:nvPicPr>
                  <pic:blipFill rotWithShape="1">
                    <a:blip r:embed="rId11">
                      <a:extLst>
                        <a:ext uri="{28A0092B-C50C-407E-A947-70E740481C1C}">
                          <a14:useLocalDpi xmlns:a14="http://schemas.microsoft.com/office/drawing/2010/main" val="0"/>
                        </a:ext>
                      </a:extLst>
                    </a:blip>
                    <a:srcRect t="28416"/>
                    <a:stretch/>
                  </pic:blipFill>
                  <pic:spPr bwMode="auto">
                    <a:xfrm>
                      <a:off x="0" y="0"/>
                      <a:ext cx="7388960" cy="6877050"/>
                    </a:xfrm>
                    <a:prstGeom prst="rect">
                      <a:avLst/>
                    </a:prstGeom>
                    <a:noFill/>
                    <a:ln>
                      <a:noFill/>
                    </a:ln>
                    <a:extLst>
                      <a:ext uri="{53640926-AAD7-44D8-BBD7-CCE9431645EC}">
                        <a14:shadowObscured xmlns:a14="http://schemas.microsoft.com/office/drawing/2010/main"/>
                      </a:ext>
                    </a:extLst>
                  </pic:spPr>
                </pic:pic>
              </a:graphicData>
            </a:graphic>
          </wp:anchor>
        </w:drawing>
      </w:r>
      <w:r>
        <w:rPr>
          <w:sz w:val="72"/>
          <w:szCs w:val="72"/>
        </w:rPr>
        <w:br w:type="page"/>
      </w:r>
    </w:p>
    <w:p w:rsidR="004A0787" w:rsidRDefault="00081E36">
      <w:pPr>
        <w:rPr>
          <w:sz w:val="72"/>
          <w:szCs w:val="72"/>
        </w:rPr>
      </w:pPr>
      <w:r>
        <w:rPr>
          <w:sz w:val="72"/>
          <w:szCs w:val="72"/>
        </w:rPr>
        <w:lastRenderedPageBreak/>
        <w:t>T-Cell Mediated Responses</w:t>
      </w:r>
    </w:p>
    <w:p w:rsidR="00081E36" w:rsidRDefault="004A0787">
      <w:pPr>
        <w:rPr>
          <w:sz w:val="72"/>
          <w:szCs w:val="72"/>
        </w:rPr>
      </w:pPr>
      <w:r>
        <w:rPr>
          <w:sz w:val="72"/>
          <w:szCs w:val="72"/>
        </w:rPr>
        <w:br w:type="page"/>
      </w:r>
      <w:r w:rsidR="00081E36">
        <w:rPr>
          <w:noProof/>
        </w:rPr>
        <w:lastRenderedPageBreak/>
        <w:drawing>
          <wp:inline distT="0" distB="0" distL="0" distR="0" wp14:anchorId="7A731082" wp14:editId="2B4D4BA8">
            <wp:extent cx="5943600" cy="5702433"/>
            <wp:effectExtent l="0" t="0" r="0" b="0"/>
            <wp:docPr id="299" name="Picture 299" descr="This flowchart shows the process in which a naïve T cell become activated T cells in the left part of the pathway and memory cells in the right part of the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s flowchart shows the process in which a naïve T cell become activated T cells in the left part of the pathway and memory cells in the right part of the pathw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702433"/>
                    </a:xfrm>
                    <a:prstGeom prst="rect">
                      <a:avLst/>
                    </a:prstGeom>
                    <a:noFill/>
                    <a:ln>
                      <a:noFill/>
                    </a:ln>
                  </pic:spPr>
                </pic:pic>
              </a:graphicData>
            </a:graphic>
          </wp:inline>
        </w:drawing>
      </w:r>
      <w:r w:rsidR="00081E36">
        <w:rPr>
          <w:rFonts w:ascii="Georgia" w:hAnsi="Georgia"/>
          <w:color w:val="000000"/>
          <w:sz w:val="29"/>
          <w:szCs w:val="29"/>
          <w:shd w:val="clear" w:color="auto" w:fill="FFFFFF"/>
        </w:rPr>
        <w:t>Figure 5. Clonal Selection and Expansion of T Lymphocytes. Stem cells differentiate into T cells with specific receptors, called clones. The clones with receptors specific for antigens on the pathogen are selected for and expanded.</w:t>
      </w:r>
    </w:p>
    <w:p w:rsidR="00081E36" w:rsidRDefault="00081E36">
      <w:pPr>
        <w:rPr>
          <w:rFonts w:ascii="Georgia" w:hAnsi="Georgia"/>
          <w:color w:val="000000"/>
          <w:sz w:val="29"/>
          <w:szCs w:val="29"/>
          <w:shd w:val="clear" w:color="auto" w:fill="FFFFFF"/>
        </w:rPr>
      </w:pPr>
      <w:r>
        <w:rPr>
          <w:noProof/>
        </w:rPr>
        <w:lastRenderedPageBreak/>
        <w:drawing>
          <wp:inline distT="0" distB="0" distL="0" distR="0">
            <wp:extent cx="5943600" cy="6170951"/>
            <wp:effectExtent l="0" t="0" r="0" b="1270"/>
            <wp:docPr id="300" name="Picture 300" descr="This figure shows the different steps in processing an extracellular path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is figure shows the different steps in processing an extracellular patho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170951"/>
                    </a:xfrm>
                    <a:prstGeom prst="rect">
                      <a:avLst/>
                    </a:prstGeom>
                    <a:noFill/>
                    <a:ln>
                      <a:noFill/>
                    </a:ln>
                  </pic:spPr>
                </pic:pic>
              </a:graphicData>
            </a:graphic>
          </wp:inline>
        </w:drawing>
      </w:r>
      <w:r>
        <w:rPr>
          <w:rFonts w:ascii="Georgia" w:hAnsi="Georgia"/>
          <w:color w:val="000000"/>
          <w:sz w:val="29"/>
          <w:szCs w:val="29"/>
          <w:shd w:val="clear" w:color="auto" w:fill="FFFFFF"/>
        </w:rPr>
        <w:t>Figure 6. Pathogen Presentation. (a) CD4 is associated with helper and regulatory T cells. An extracellular pathogen is processed and presented in the binding cleft of a class II MHC molecule, and this interaction is strengthened by the CD4 molecule. (b) CD8 is associated with cytotoxic T cells. An intracellular pathogen is presented by a class I MHC molecule, and CD8 interacts with it.</w:t>
      </w:r>
    </w:p>
    <w:p w:rsidR="00081E36" w:rsidRDefault="00081E36">
      <w:pPr>
        <w:rPr>
          <w:rFonts w:ascii="Georgia" w:hAnsi="Georgia"/>
          <w:color w:val="000000"/>
          <w:sz w:val="29"/>
          <w:szCs w:val="29"/>
          <w:shd w:val="clear" w:color="auto" w:fill="FFFFFF"/>
        </w:rPr>
      </w:pPr>
      <w:r>
        <w:rPr>
          <w:rFonts w:ascii="Georgia" w:hAnsi="Georgia"/>
          <w:color w:val="000000"/>
          <w:sz w:val="29"/>
          <w:szCs w:val="29"/>
          <w:shd w:val="clear" w:color="auto" w:fill="FFFFFF"/>
        </w:rPr>
        <w:br w:type="page"/>
      </w:r>
    </w:p>
    <w:p w:rsidR="00081E36" w:rsidRDefault="00081E36">
      <w:pPr>
        <w:rPr>
          <w:sz w:val="72"/>
          <w:szCs w:val="72"/>
        </w:rPr>
      </w:pPr>
      <w:r>
        <w:rPr>
          <w:sz w:val="72"/>
          <w:szCs w:val="72"/>
        </w:rPr>
        <w:lastRenderedPageBreak/>
        <w:t>B-Cells and Antibodies</w:t>
      </w:r>
    </w:p>
    <w:p w:rsidR="00081E36" w:rsidRDefault="00081E36">
      <w:pPr>
        <w:rPr>
          <w:sz w:val="72"/>
          <w:szCs w:val="72"/>
        </w:rPr>
      </w:pPr>
      <w:r>
        <w:rPr>
          <w:sz w:val="72"/>
          <w:szCs w:val="72"/>
        </w:rPr>
        <w:br w:type="page"/>
      </w:r>
    </w:p>
    <w:p w:rsidR="00081E36" w:rsidRDefault="00081E36">
      <w:pPr>
        <w:rPr>
          <w:rFonts w:ascii="Georgia" w:hAnsi="Georgia"/>
          <w:color w:val="000000"/>
          <w:sz w:val="29"/>
          <w:szCs w:val="29"/>
          <w:shd w:val="clear" w:color="auto" w:fill="FFFFFF"/>
        </w:rPr>
      </w:pPr>
      <w:r>
        <w:rPr>
          <w:noProof/>
        </w:rPr>
        <w:lastRenderedPageBreak/>
        <w:drawing>
          <wp:inline distT="0" distB="0" distL="0" distR="0">
            <wp:extent cx="5943600" cy="2365185"/>
            <wp:effectExtent l="0" t="0" r="0" b="0"/>
            <wp:docPr id="301" name="Picture 301" descr="This diagram shows the four chain structure of a generic anti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s diagram shows the four chain structure of a generic antibod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365185"/>
                    </a:xfrm>
                    <a:prstGeom prst="rect">
                      <a:avLst/>
                    </a:prstGeom>
                    <a:noFill/>
                    <a:ln>
                      <a:noFill/>
                    </a:ln>
                  </pic:spPr>
                </pic:pic>
              </a:graphicData>
            </a:graphic>
          </wp:inline>
        </w:drawing>
      </w:r>
      <w:r>
        <w:rPr>
          <w:rFonts w:ascii="Georgia" w:hAnsi="Georgia"/>
          <w:color w:val="000000"/>
          <w:sz w:val="29"/>
          <w:szCs w:val="29"/>
          <w:shd w:val="clear" w:color="auto" w:fill="FFFFFF"/>
        </w:rPr>
        <w:t>Figure 1. Antibody and IgG2 Structures. The typical four chain structure of a generic antibody (a) and the corresponding three-dimensional structure of the antibody IgG2 (b). (</w:t>
      </w:r>
      <w:proofErr w:type="gramStart"/>
      <w:r>
        <w:rPr>
          <w:rFonts w:ascii="Georgia" w:hAnsi="Georgia"/>
          <w:color w:val="000000"/>
          <w:sz w:val="29"/>
          <w:szCs w:val="29"/>
          <w:shd w:val="clear" w:color="auto" w:fill="FFFFFF"/>
        </w:rPr>
        <w:t>credit</w:t>
      </w:r>
      <w:proofErr w:type="gramEnd"/>
      <w:r>
        <w:rPr>
          <w:rFonts w:ascii="Georgia" w:hAnsi="Georgia"/>
          <w:color w:val="000000"/>
          <w:sz w:val="29"/>
          <w:szCs w:val="29"/>
          <w:shd w:val="clear" w:color="auto" w:fill="FFFFFF"/>
        </w:rPr>
        <w:t xml:space="preserve"> b: modification of work by Tim Vickers)</w:t>
      </w:r>
    </w:p>
    <w:p w:rsidR="00081E36" w:rsidRDefault="00081E36">
      <w:pPr>
        <w:rPr>
          <w:rFonts w:ascii="Georgia" w:hAnsi="Georgia"/>
          <w:color w:val="000000"/>
          <w:sz w:val="29"/>
          <w:szCs w:val="29"/>
          <w:shd w:val="clear" w:color="auto" w:fill="FFFFFF"/>
        </w:rPr>
      </w:pPr>
      <w:r>
        <w:rPr>
          <w:rFonts w:ascii="Georgia" w:hAnsi="Georgia"/>
          <w:color w:val="000000"/>
          <w:sz w:val="29"/>
          <w:szCs w:val="29"/>
          <w:shd w:val="clear" w:color="auto" w:fill="FFFFFF"/>
        </w:rPr>
        <w:br w:type="page"/>
      </w:r>
    </w:p>
    <w:p w:rsidR="00081E36" w:rsidRDefault="00081E36">
      <w:pPr>
        <w:rPr>
          <w:sz w:val="72"/>
          <w:szCs w:val="72"/>
        </w:rPr>
      </w:pPr>
      <w:r>
        <w:rPr>
          <w:sz w:val="72"/>
          <w:szCs w:val="72"/>
        </w:rPr>
        <w:lastRenderedPageBreak/>
        <w:t>Classes of Antibodies</w:t>
      </w:r>
    </w:p>
    <w:p w:rsidR="00081E36" w:rsidRDefault="00081E36">
      <w:pPr>
        <w:rPr>
          <w:sz w:val="72"/>
          <w:szCs w:val="72"/>
        </w:rPr>
      </w:pPr>
      <w:r>
        <w:rPr>
          <w:sz w:val="72"/>
          <w:szCs w:val="72"/>
        </w:rPr>
        <w:br w:type="page"/>
      </w:r>
    </w:p>
    <w:p w:rsidR="00081E36" w:rsidRDefault="00081E36">
      <w:pPr>
        <w:rPr>
          <w:sz w:val="72"/>
          <w:szCs w:val="72"/>
        </w:rPr>
      </w:pPr>
      <w:r>
        <w:rPr>
          <w:noProof/>
        </w:rPr>
        <w:lastRenderedPageBreak/>
        <w:drawing>
          <wp:anchor distT="0" distB="0" distL="114300" distR="114300" simplePos="0" relativeHeight="251671552" behindDoc="0" locked="0" layoutInCell="1" allowOverlap="1">
            <wp:simplePos x="914400" y="914400"/>
            <wp:positionH relativeFrom="margin">
              <wp:align>center</wp:align>
            </wp:positionH>
            <wp:positionV relativeFrom="margin">
              <wp:align>top</wp:align>
            </wp:positionV>
            <wp:extent cx="7169195" cy="6715125"/>
            <wp:effectExtent l="0" t="0" r="0" b="0"/>
            <wp:wrapSquare wrapText="bothSides"/>
            <wp:docPr id="302" name="Picture 302" descr="This table shows the five classes of the immunoglobulins. The table shows the molecular weight, number of antigen binding sites, and their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is table shows the five classes of the immunoglobulins. The table shows the molecular weight, number of antigen binding sites, and their func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69195" cy="6715125"/>
                    </a:xfrm>
                    <a:prstGeom prst="rect">
                      <a:avLst/>
                    </a:prstGeom>
                    <a:noFill/>
                    <a:ln>
                      <a:noFill/>
                    </a:ln>
                  </pic:spPr>
                </pic:pic>
              </a:graphicData>
            </a:graphic>
          </wp:anchor>
        </w:drawing>
      </w:r>
    </w:p>
    <w:p w:rsidR="00081E36" w:rsidRDefault="00081E36">
      <w:pPr>
        <w:rPr>
          <w:sz w:val="72"/>
          <w:szCs w:val="72"/>
        </w:rPr>
      </w:pPr>
    </w:p>
    <w:p w:rsidR="00534ABD" w:rsidRDefault="00534ABD">
      <w:pPr>
        <w:rPr>
          <w:sz w:val="72"/>
          <w:szCs w:val="72"/>
        </w:rPr>
      </w:pPr>
      <w:r>
        <w:rPr>
          <w:sz w:val="72"/>
          <w:szCs w:val="72"/>
        </w:rPr>
        <w:lastRenderedPageBreak/>
        <w:t>Mechanism of Antibody Action</w:t>
      </w:r>
    </w:p>
    <w:p w:rsidR="00534ABD" w:rsidRDefault="00534ABD">
      <w:pPr>
        <w:rPr>
          <w:sz w:val="72"/>
          <w:szCs w:val="72"/>
        </w:rPr>
      </w:pPr>
    </w:p>
    <w:p w:rsidR="00534ABD" w:rsidRDefault="00534ABD">
      <w:pPr>
        <w:rPr>
          <w:sz w:val="72"/>
          <w:szCs w:val="72"/>
        </w:rPr>
      </w:pPr>
    </w:p>
    <w:p w:rsidR="00534ABD" w:rsidRDefault="00534ABD">
      <w:pPr>
        <w:rPr>
          <w:sz w:val="72"/>
          <w:szCs w:val="72"/>
        </w:rPr>
      </w:pPr>
    </w:p>
    <w:p w:rsidR="00534ABD" w:rsidRDefault="00534ABD">
      <w:pPr>
        <w:rPr>
          <w:sz w:val="72"/>
          <w:szCs w:val="72"/>
        </w:rPr>
      </w:pPr>
    </w:p>
    <w:p w:rsidR="00534ABD" w:rsidRDefault="00534ABD">
      <w:pPr>
        <w:rPr>
          <w:sz w:val="72"/>
          <w:szCs w:val="72"/>
        </w:rPr>
      </w:pPr>
    </w:p>
    <w:p w:rsidR="00534ABD" w:rsidRDefault="00534ABD">
      <w:pPr>
        <w:rPr>
          <w:sz w:val="72"/>
          <w:szCs w:val="72"/>
        </w:rPr>
      </w:pPr>
    </w:p>
    <w:p w:rsidR="00534ABD" w:rsidRDefault="00534ABD">
      <w:pPr>
        <w:rPr>
          <w:sz w:val="72"/>
          <w:szCs w:val="72"/>
        </w:rPr>
      </w:pPr>
    </w:p>
    <w:p w:rsidR="00534ABD" w:rsidRDefault="00534ABD">
      <w:pPr>
        <w:rPr>
          <w:sz w:val="72"/>
          <w:szCs w:val="72"/>
        </w:rPr>
      </w:pPr>
    </w:p>
    <w:p w:rsidR="00534ABD" w:rsidRDefault="00534ABD">
      <w:pPr>
        <w:rPr>
          <w:sz w:val="72"/>
          <w:szCs w:val="72"/>
        </w:rPr>
      </w:pPr>
    </w:p>
    <w:p w:rsidR="00534ABD" w:rsidRDefault="00534ABD">
      <w:pPr>
        <w:rPr>
          <w:sz w:val="72"/>
          <w:szCs w:val="72"/>
        </w:rPr>
      </w:pPr>
    </w:p>
    <w:p w:rsidR="00534ABD" w:rsidRDefault="00534ABD">
      <w:pPr>
        <w:rPr>
          <w:sz w:val="72"/>
          <w:szCs w:val="72"/>
        </w:rPr>
      </w:pPr>
    </w:p>
    <w:p w:rsidR="00534ABD" w:rsidRDefault="00534ABD">
      <w:pPr>
        <w:rPr>
          <w:sz w:val="72"/>
          <w:szCs w:val="72"/>
        </w:rPr>
      </w:pPr>
    </w:p>
    <w:p w:rsidR="00534ABD" w:rsidRDefault="00534ABD">
      <w:pPr>
        <w:rPr>
          <w:sz w:val="72"/>
          <w:szCs w:val="72"/>
        </w:rPr>
      </w:pPr>
    </w:p>
    <w:p w:rsidR="00081E36" w:rsidRDefault="00081E36">
      <w:pPr>
        <w:rPr>
          <w:sz w:val="72"/>
          <w:szCs w:val="72"/>
        </w:rPr>
      </w:pPr>
      <w:r>
        <w:rPr>
          <w:sz w:val="72"/>
          <w:szCs w:val="72"/>
        </w:rPr>
        <w:lastRenderedPageBreak/>
        <w:t xml:space="preserve">Clonal Selection </w:t>
      </w:r>
    </w:p>
    <w:p w:rsidR="00081E36" w:rsidRDefault="00081E36">
      <w:pPr>
        <w:rPr>
          <w:sz w:val="72"/>
          <w:szCs w:val="72"/>
        </w:rPr>
      </w:pPr>
    </w:p>
    <w:p w:rsidR="00081E36" w:rsidRDefault="00081E36">
      <w:pPr>
        <w:rPr>
          <w:rFonts w:ascii="Georgia" w:hAnsi="Georgia"/>
          <w:color w:val="000000"/>
          <w:sz w:val="29"/>
          <w:szCs w:val="29"/>
          <w:shd w:val="clear" w:color="auto" w:fill="FFFFFF"/>
        </w:rPr>
      </w:pPr>
      <w:r>
        <w:rPr>
          <w:noProof/>
        </w:rPr>
        <w:drawing>
          <wp:inline distT="0" distB="0" distL="0" distR="0">
            <wp:extent cx="5943600" cy="5443422"/>
            <wp:effectExtent l="0" t="0" r="0" b="5080"/>
            <wp:docPr id="303" name="Picture 303" descr="This flow chart shows how the clonal selection of B cells takes place. The left panel shows the primary response and the right panel shows the secondary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is flow chart shows how the clonal selection of B cells takes place. The left panel shows the primary response and the right panel shows the secondary respon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443422"/>
                    </a:xfrm>
                    <a:prstGeom prst="rect">
                      <a:avLst/>
                    </a:prstGeom>
                    <a:noFill/>
                    <a:ln>
                      <a:noFill/>
                    </a:ln>
                  </pic:spPr>
                </pic:pic>
              </a:graphicData>
            </a:graphic>
          </wp:inline>
        </w:drawing>
      </w:r>
      <w:r>
        <w:rPr>
          <w:rFonts w:ascii="Georgia" w:hAnsi="Georgia"/>
          <w:color w:val="000000"/>
          <w:sz w:val="29"/>
          <w:szCs w:val="29"/>
          <w:shd w:val="clear" w:color="auto" w:fill="FFFFFF"/>
        </w:rPr>
        <w:t>Figure 3. Clonal Selection of B Cells. During a primary B cell immune response, both antibody-secreting plasma cells and memory B cells are produced. These memory cells lead to the differentiation of more plasma cells and memory B cells during secondary responses.</w:t>
      </w:r>
    </w:p>
    <w:p w:rsidR="00081E36" w:rsidRDefault="00081E36">
      <w:pPr>
        <w:rPr>
          <w:rFonts w:ascii="Georgia" w:hAnsi="Georgia"/>
          <w:color w:val="000000"/>
          <w:sz w:val="29"/>
          <w:szCs w:val="29"/>
          <w:shd w:val="clear" w:color="auto" w:fill="FFFFFF"/>
        </w:rPr>
      </w:pPr>
      <w:r>
        <w:rPr>
          <w:rFonts w:ascii="Georgia" w:hAnsi="Georgia"/>
          <w:color w:val="000000"/>
          <w:sz w:val="29"/>
          <w:szCs w:val="29"/>
          <w:shd w:val="clear" w:color="auto" w:fill="FFFFFF"/>
        </w:rPr>
        <w:br w:type="page"/>
      </w:r>
    </w:p>
    <w:p w:rsidR="00081E36" w:rsidRDefault="00081E36">
      <w:pPr>
        <w:rPr>
          <w:rFonts w:ascii="Georgia" w:hAnsi="Georgia"/>
          <w:color w:val="000000"/>
          <w:sz w:val="29"/>
          <w:szCs w:val="29"/>
          <w:shd w:val="clear" w:color="auto" w:fill="FFFFFF"/>
        </w:rPr>
      </w:pPr>
      <w:r>
        <w:rPr>
          <w:noProof/>
        </w:rPr>
        <w:lastRenderedPageBreak/>
        <w:drawing>
          <wp:inline distT="0" distB="0" distL="0" distR="0">
            <wp:extent cx="5219700" cy="3629025"/>
            <wp:effectExtent l="0" t="0" r="0" b="9525"/>
            <wp:docPr id="304" name="Picture 304" descr="This graph shows the antibody concentration as a function of time in primary and secondary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s graph shows the antibody concentration as a function of time in primary and secondary respon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3629025"/>
                    </a:xfrm>
                    <a:prstGeom prst="rect">
                      <a:avLst/>
                    </a:prstGeom>
                    <a:noFill/>
                    <a:ln>
                      <a:noFill/>
                    </a:ln>
                  </pic:spPr>
                </pic:pic>
              </a:graphicData>
            </a:graphic>
          </wp:inline>
        </w:drawing>
      </w:r>
    </w:p>
    <w:p w:rsidR="00081E36" w:rsidRDefault="00081E36">
      <w:pPr>
        <w:rPr>
          <w:sz w:val="72"/>
          <w:szCs w:val="72"/>
        </w:rPr>
      </w:pPr>
      <w:r>
        <w:rPr>
          <w:rFonts w:ascii="Georgia" w:hAnsi="Georgia"/>
          <w:color w:val="000000"/>
          <w:sz w:val="29"/>
          <w:szCs w:val="29"/>
          <w:shd w:val="clear" w:color="auto" w:fill="FFFFFF"/>
        </w:rPr>
        <w:t>Figure 4. Primary and Secondary Antibody Responses. Antigen A is given once to generate a primary response and later to generate a secondary response. When a different antigen is given for the first time, a new primary response is made.</w:t>
      </w:r>
    </w:p>
    <w:p w:rsidR="00081E36" w:rsidRDefault="00081E36">
      <w:pPr>
        <w:rPr>
          <w:sz w:val="72"/>
          <w:szCs w:val="72"/>
        </w:rPr>
      </w:pPr>
    </w:p>
    <w:p w:rsidR="00081E36" w:rsidRDefault="00081E36">
      <w:pPr>
        <w:rPr>
          <w:sz w:val="72"/>
          <w:szCs w:val="72"/>
        </w:rPr>
      </w:pPr>
    </w:p>
    <w:p w:rsidR="00081E36" w:rsidRDefault="00081E36">
      <w:pPr>
        <w:rPr>
          <w:sz w:val="72"/>
          <w:szCs w:val="72"/>
        </w:rPr>
      </w:pPr>
    </w:p>
    <w:p w:rsidR="00A53CE9" w:rsidRDefault="00A53CE9" w:rsidP="005B7891">
      <w:pPr>
        <w:rPr>
          <w:sz w:val="72"/>
          <w:szCs w:val="72"/>
        </w:rPr>
      </w:pPr>
    </w:p>
    <w:p w:rsidR="00A53CE9" w:rsidRDefault="00A53CE9">
      <w:pPr>
        <w:rPr>
          <w:sz w:val="72"/>
          <w:szCs w:val="72"/>
        </w:rPr>
      </w:pPr>
      <w:r>
        <w:rPr>
          <w:sz w:val="72"/>
          <w:szCs w:val="72"/>
        </w:rPr>
        <w:br w:type="page"/>
      </w:r>
    </w:p>
    <w:p w:rsidR="004A0787" w:rsidRDefault="00A92523">
      <w:pPr>
        <w:rPr>
          <w:sz w:val="72"/>
          <w:szCs w:val="72"/>
        </w:rPr>
      </w:pPr>
      <w:r>
        <w:rPr>
          <w:sz w:val="72"/>
          <w:szCs w:val="72"/>
        </w:rPr>
        <w:lastRenderedPageBreak/>
        <w:t>Vaccinations</w:t>
      </w:r>
    </w:p>
    <w:p w:rsidR="004A0787" w:rsidRDefault="004A0787">
      <w:pPr>
        <w:rPr>
          <w:sz w:val="72"/>
          <w:szCs w:val="72"/>
        </w:rPr>
      </w:pPr>
      <w:r>
        <w:rPr>
          <w:sz w:val="72"/>
          <w:szCs w:val="72"/>
        </w:rPr>
        <w:br w:type="page"/>
      </w:r>
    </w:p>
    <w:p w:rsidR="00A92523" w:rsidRDefault="004A0787">
      <w:pPr>
        <w:rPr>
          <w:sz w:val="72"/>
          <w:szCs w:val="72"/>
        </w:rPr>
      </w:pPr>
      <w:r>
        <w:rPr>
          <w:sz w:val="72"/>
          <w:szCs w:val="72"/>
        </w:rPr>
        <w:lastRenderedPageBreak/>
        <w:t>Evolution of Virulence</w:t>
      </w:r>
      <w:r>
        <w:rPr>
          <w:sz w:val="72"/>
          <w:szCs w:val="72"/>
        </w:rPr>
        <w:br w:type="page"/>
      </w:r>
    </w:p>
    <w:p w:rsidR="00081E36" w:rsidRDefault="004A0787">
      <w:pPr>
        <w:rPr>
          <w:sz w:val="72"/>
          <w:szCs w:val="72"/>
        </w:rPr>
      </w:pPr>
      <w:r>
        <w:rPr>
          <w:sz w:val="72"/>
          <w:szCs w:val="72"/>
        </w:rPr>
        <w:lastRenderedPageBreak/>
        <w:t>A</w:t>
      </w:r>
      <w:r w:rsidR="00542C34">
        <w:rPr>
          <w:sz w:val="72"/>
          <w:szCs w:val="72"/>
        </w:rPr>
        <w:t>ctive vs. Passive Immunity</w:t>
      </w:r>
    </w:p>
    <w:p w:rsidR="00081E36" w:rsidRDefault="00081E36">
      <w:pPr>
        <w:rPr>
          <w:sz w:val="72"/>
          <w:szCs w:val="72"/>
        </w:rPr>
      </w:pPr>
      <w:r>
        <w:rPr>
          <w:sz w:val="72"/>
          <w:szCs w:val="72"/>
        </w:rPr>
        <w:br w:type="page"/>
      </w:r>
    </w:p>
    <w:p w:rsidR="00192374" w:rsidRDefault="00081E36">
      <w:pPr>
        <w:rPr>
          <w:sz w:val="72"/>
          <w:szCs w:val="72"/>
        </w:rPr>
      </w:pPr>
      <w:r>
        <w:rPr>
          <w:sz w:val="72"/>
          <w:szCs w:val="72"/>
        </w:rPr>
        <w:lastRenderedPageBreak/>
        <w:t xml:space="preserve">Interaction between </w:t>
      </w:r>
      <w:r w:rsidR="00192374">
        <w:rPr>
          <w:sz w:val="72"/>
          <w:szCs w:val="72"/>
        </w:rPr>
        <w:t>B-Cells and T-Cells</w:t>
      </w:r>
    </w:p>
    <w:p w:rsidR="00192374" w:rsidRDefault="00192374">
      <w:pPr>
        <w:rPr>
          <w:sz w:val="72"/>
          <w:szCs w:val="72"/>
        </w:rPr>
      </w:pPr>
    </w:p>
    <w:p w:rsidR="00192374" w:rsidRDefault="00192374">
      <w:pPr>
        <w:rPr>
          <w:rFonts w:ascii="Georgia" w:hAnsi="Georgia"/>
          <w:color w:val="000000"/>
          <w:sz w:val="29"/>
          <w:szCs w:val="29"/>
          <w:shd w:val="clear" w:color="auto" w:fill="FFFFFF"/>
        </w:rPr>
      </w:pPr>
      <w:r>
        <w:rPr>
          <w:noProof/>
        </w:rPr>
        <w:drawing>
          <wp:inline distT="0" distB="0" distL="0" distR="0">
            <wp:extent cx="5943600" cy="2195249"/>
            <wp:effectExtent l="0" t="0" r="0" b="0"/>
            <wp:docPr id="305" name="Picture 305" descr="This diagram shows the binding of a B cell and a T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is diagram shows the binding of a B cell and a T cel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195249"/>
                    </a:xfrm>
                    <a:prstGeom prst="rect">
                      <a:avLst/>
                    </a:prstGeom>
                    <a:noFill/>
                    <a:ln>
                      <a:noFill/>
                    </a:ln>
                  </pic:spPr>
                </pic:pic>
              </a:graphicData>
            </a:graphic>
          </wp:inline>
        </w:drawing>
      </w:r>
      <w:r>
        <w:rPr>
          <w:rFonts w:ascii="Georgia" w:hAnsi="Georgia"/>
          <w:color w:val="000000"/>
          <w:sz w:val="29"/>
          <w:szCs w:val="29"/>
          <w:shd w:val="clear" w:color="auto" w:fill="FFFFFF"/>
        </w:rPr>
        <w:t xml:space="preserve">Figure 5. T and B </w:t>
      </w:r>
      <w:proofErr w:type="gramStart"/>
      <w:r>
        <w:rPr>
          <w:rFonts w:ascii="Georgia" w:hAnsi="Georgia"/>
          <w:color w:val="000000"/>
          <w:sz w:val="29"/>
          <w:szCs w:val="29"/>
          <w:shd w:val="clear" w:color="auto" w:fill="FFFFFF"/>
        </w:rPr>
        <w:t>Cell</w:t>
      </w:r>
      <w:proofErr w:type="gramEnd"/>
      <w:r>
        <w:rPr>
          <w:rFonts w:ascii="Georgia" w:hAnsi="Georgia"/>
          <w:color w:val="000000"/>
          <w:sz w:val="29"/>
          <w:szCs w:val="29"/>
          <w:shd w:val="clear" w:color="auto" w:fill="FFFFFF"/>
        </w:rPr>
        <w:t xml:space="preserve"> Binding. To elicit a response to a T cell-dependent antigen, the B and T cells must come close together. To become fully activated, the B cell must receive two signals from the native antigen and the T cell’s cytokines.</w:t>
      </w:r>
    </w:p>
    <w:p w:rsidR="00192374" w:rsidRDefault="00192374">
      <w:pPr>
        <w:rPr>
          <w:rFonts w:ascii="Georgia" w:hAnsi="Georgia"/>
          <w:color w:val="000000"/>
          <w:sz w:val="29"/>
          <w:szCs w:val="29"/>
          <w:shd w:val="clear" w:color="auto" w:fill="FFFFFF"/>
        </w:rPr>
      </w:pPr>
      <w:r>
        <w:rPr>
          <w:rFonts w:ascii="Georgia" w:hAnsi="Georgia"/>
          <w:color w:val="000000"/>
          <w:sz w:val="29"/>
          <w:szCs w:val="29"/>
          <w:shd w:val="clear" w:color="auto" w:fill="FFFFFF"/>
        </w:rPr>
        <w:br w:type="page"/>
      </w:r>
    </w:p>
    <w:p w:rsidR="00192374" w:rsidRDefault="00192374">
      <w:pPr>
        <w:rPr>
          <w:sz w:val="72"/>
          <w:szCs w:val="72"/>
        </w:rPr>
      </w:pPr>
      <w:r>
        <w:rPr>
          <w:sz w:val="72"/>
          <w:szCs w:val="72"/>
        </w:rPr>
        <w:lastRenderedPageBreak/>
        <w:t>AIDS</w:t>
      </w:r>
    </w:p>
    <w:p w:rsidR="00192374" w:rsidRDefault="00192374">
      <w:pPr>
        <w:rPr>
          <w:sz w:val="72"/>
          <w:szCs w:val="72"/>
        </w:rPr>
      </w:pPr>
    </w:p>
    <w:p w:rsidR="00192374" w:rsidRDefault="00192374">
      <w:pPr>
        <w:rPr>
          <w:sz w:val="72"/>
          <w:szCs w:val="72"/>
        </w:rPr>
      </w:pPr>
    </w:p>
    <w:p w:rsidR="00192374" w:rsidRDefault="00192374">
      <w:pPr>
        <w:rPr>
          <w:sz w:val="72"/>
          <w:szCs w:val="72"/>
        </w:rPr>
      </w:pPr>
      <w:r>
        <w:rPr>
          <w:noProof/>
        </w:rPr>
        <w:drawing>
          <wp:inline distT="0" distB="0" distL="0" distR="0">
            <wp:extent cx="5943600" cy="2975006"/>
            <wp:effectExtent l="0" t="0" r="0" b="0"/>
            <wp:docPr id="306" name="Picture 306" descr="This graph shows the concentration of HIV viral particles in blood over time in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is graph shows the concentration of HIV viral particles in blood over time in yea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975006"/>
                    </a:xfrm>
                    <a:prstGeom prst="rect">
                      <a:avLst/>
                    </a:prstGeom>
                    <a:noFill/>
                    <a:ln>
                      <a:noFill/>
                    </a:ln>
                  </pic:spPr>
                </pic:pic>
              </a:graphicData>
            </a:graphic>
          </wp:inline>
        </w:drawing>
      </w:r>
    </w:p>
    <w:p w:rsidR="00192374" w:rsidRDefault="00192374">
      <w:pPr>
        <w:rPr>
          <w:sz w:val="72"/>
          <w:szCs w:val="72"/>
        </w:rPr>
      </w:pPr>
      <w:r>
        <w:rPr>
          <w:sz w:val="72"/>
          <w:szCs w:val="72"/>
        </w:rPr>
        <w:br w:type="page"/>
      </w:r>
    </w:p>
    <w:p w:rsidR="00534ABD" w:rsidRDefault="004A0787">
      <w:pPr>
        <w:rPr>
          <w:sz w:val="72"/>
          <w:szCs w:val="72"/>
        </w:rPr>
      </w:pPr>
      <w:r>
        <w:rPr>
          <w:sz w:val="72"/>
          <w:szCs w:val="72"/>
        </w:rPr>
        <w:lastRenderedPageBreak/>
        <w:t xml:space="preserve">Other </w:t>
      </w:r>
      <w:proofErr w:type="spellStart"/>
      <w:r w:rsidR="00192374">
        <w:rPr>
          <w:sz w:val="72"/>
          <w:szCs w:val="72"/>
        </w:rPr>
        <w:t>Immunodeficiencies</w:t>
      </w:r>
      <w:proofErr w:type="spellEnd"/>
    </w:p>
    <w:p w:rsidR="00534ABD" w:rsidRDefault="00534ABD">
      <w:pPr>
        <w:rPr>
          <w:sz w:val="72"/>
          <w:szCs w:val="72"/>
        </w:rPr>
      </w:pPr>
      <w:r>
        <w:rPr>
          <w:sz w:val="72"/>
          <w:szCs w:val="72"/>
        </w:rPr>
        <w:br w:type="page"/>
      </w:r>
    </w:p>
    <w:p w:rsidR="00534ABD" w:rsidRDefault="004A0787" w:rsidP="00534ABD">
      <w:pPr>
        <w:rPr>
          <w:sz w:val="72"/>
          <w:szCs w:val="72"/>
        </w:rPr>
      </w:pPr>
      <w:r>
        <w:rPr>
          <w:noProof/>
        </w:rPr>
        <w:lastRenderedPageBreak/>
        <w:drawing>
          <wp:anchor distT="0" distB="0" distL="114300" distR="114300" simplePos="0" relativeHeight="251673600" behindDoc="0" locked="0" layoutInCell="1" allowOverlap="1" wp14:anchorId="6ED4C9DB" wp14:editId="7450C3F3">
            <wp:simplePos x="0" y="0"/>
            <wp:positionH relativeFrom="margin">
              <wp:align>center</wp:align>
            </wp:positionH>
            <wp:positionV relativeFrom="margin">
              <wp:align>center</wp:align>
            </wp:positionV>
            <wp:extent cx="4436110" cy="2705100"/>
            <wp:effectExtent l="0" t="0" r="2540" b="0"/>
            <wp:wrapSquare wrapText="bothSides"/>
            <wp:docPr id="12" name="Picture 12" descr="Image result for bubble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ubble bo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611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ABD">
        <w:rPr>
          <w:sz w:val="72"/>
          <w:szCs w:val="72"/>
        </w:rPr>
        <w:t>SCID</w:t>
      </w:r>
      <w:r w:rsidR="00534ABD">
        <w:rPr>
          <w:sz w:val="72"/>
          <w:szCs w:val="72"/>
        </w:rPr>
        <w:br w:type="page"/>
      </w:r>
    </w:p>
    <w:p w:rsidR="004A0787" w:rsidRDefault="004A0787">
      <w:pPr>
        <w:rPr>
          <w:sz w:val="72"/>
          <w:szCs w:val="72"/>
        </w:rPr>
      </w:pPr>
      <w:r>
        <w:rPr>
          <w:noProof/>
        </w:rPr>
        <w:lastRenderedPageBreak/>
        <w:drawing>
          <wp:inline distT="0" distB="0" distL="0" distR="0" wp14:anchorId="72061619" wp14:editId="6E8AB411">
            <wp:extent cx="5943600" cy="5943600"/>
            <wp:effectExtent l="0" t="0" r="0" b="0"/>
            <wp:docPr id="2" name="Picture 2" descr="Image result for gene therapy S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e therapy SCI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4A0787" w:rsidRDefault="004A0787">
      <w:pPr>
        <w:rPr>
          <w:sz w:val="72"/>
          <w:szCs w:val="72"/>
        </w:rPr>
      </w:pPr>
    </w:p>
    <w:p w:rsidR="004A0787" w:rsidRDefault="004A0787">
      <w:pPr>
        <w:rPr>
          <w:sz w:val="72"/>
          <w:szCs w:val="72"/>
        </w:rPr>
      </w:pPr>
    </w:p>
    <w:p w:rsidR="004A0787" w:rsidRDefault="004A0787">
      <w:pPr>
        <w:rPr>
          <w:sz w:val="72"/>
          <w:szCs w:val="72"/>
        </w:rPr>
      </w:pPr>
    </w:p>
    <w:p w:rsidR="004A0787" w:rsidRDefault="004A0787">
      <w:pPr>
        <w:rPr>
          <w:sz w:val="72"/>
          <w:szCs w:val="72"/>
        </w:rPr>
      </w:pPr>
    </w:p>
    <w:p w:rsidR="00192374" w:rsidRDefault="00192374">
      <w:pPr>
        <w:rPr>
          <w:sz w:val="72"/>
          <w:szCs w:val="72"/>
        </w:rPr>
      </w:pPr>
      <w:r>
        <w:rPr>
          <w:sz w:val="72"/>
          <w:szCs w:val="72"/>
        </w:rPr>
        <w:lastRenderedPageBreak/>
        <w:t>Hypersensitivities</w:t>
      </w:r>
    </w:p>
    <w:p w:rsidR="00192374" w:rsidRDefault="00192374">
      <w:pPr>
        <w:rPr>
          <w:sz w:val="72"/>
          <w:szCs w:val="72"/>
        </w:rPr>
      </w:pPr>
      <w:r>
        <w:rPr>
          <w:sz w:val="72"/>
          <w:szCs w:val="72"/>
        </w:rPr>
        <w:br w:type="page"/>
      </w:r>
      <w:r>
        <w:rPr>
          <w:noProof/>
          <w:sz w:val="72"/>
          <w:szCs w:val="72"/>
        </w:rPr>
        <w:lastRenderedPageBreak/>
        <w:drawing>
          <wp:inline distT="0" distB="0" distL="0" distR="0">
            <wp:extent cx="5943600" cy="459486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2228_Immune_Hypersensitivity_new.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594860"/>
                    </a:xfrm>
                    <a:prstGeom prst="rect">
                      <a:avLst/>
                    </a:prstGeom>
                  </pic:spPr>
                </pic:pic>
              </a:graphicData>
            </a:graphic>
          </wp:inline>
        </w:drawing>
      </w:r>
    </w:p>
    <w:p w:rsidR="00542C34" w:rsidRDefault="00542C34">
      <w:pPr>
        <w:rPr>
          <w:sz w:val="72"/>
          <w:szCs w:val="72"/>
        </w:rPr>
      </w:pPr>
      <w:r>
        <w:rPr>
          <w:sz w:val="72"/>
          <w:szCs w:val="72"/>
        </w:rPr>
        <w:br w:type="page"/>
      </w:r>
    </w:p>
    <w:p w:rsidR="00192374" w:rsidRDefault="00192374">
      <w:pPr>
        <w:rPr>
          <w:sz w:val="72"/>
          <w:szCs w:val="72"/>
        </w:rPr>
      </w:pPr>
      <w:r>
        <w:rPr>
          <w:sz w:val="72"/>
          <w:szCs w:val="72"/>
        </w:rPr>
        <w:lastRenderedPageBreak/>
        <w:t>Autoimmunity</w:t>
      </w:r>
    </w:p>
    <w:p w:rsidR="00192374" w:rsidRDefault="00192374">
      <w:pPr>
        <w:rPr>
          <w:sz w:val="72"/>
          <w:szCs w:val="72"/>
        </w:rPr>
      </w:pPr>
    </w:p>
    <w:p w:rsidR="00192374" w:rsidRDefault="00192374">
      <w:pPr>
        <w:rPr>
          <w:sz w:val="72"/>
          <w:szCs w:val="72"/>
        </w:rPr>
      </w:pPr>
    </w:p>
    <w:p w:rsidR="00192374" w:rsidRDefault="00192374">
      <w:pPr>
        <w:rPr>
          <w:sz w:val="72"/>
          <w:szCs w:val="72"/>
        </w:rPr>
      </w:pPr>
    </w:p>
    <w:p w:rsidR="00192374" w:rsidRDefault="00192374">
      <w:pPr>
        <w:rPr>
          <w:sz w:val="72"/>
          <w:szCs w:val="72"/>
        </w:rPr>
      </w:pPr>
      <w:r>
        <w:rPr>
          <w:noProof/>
        </w:rPr>
        <w:drawing>
          <wp:inline distT="0" distB="0" distL="0" distR="0">
            <wp:extent cx="5943600" cy="2564741"/>
            <wp:effectExtent l="0" t="0" r="0" b="7620"/>
            <wp:docPr id="311" name="Picture 311" descr="The left panel of this figure shows an x-ray image of a person’s hand with rheumatoid arthritis, and the right panel of this figure shows a woman’s body with labels showing the different responses in the body when the patient suffers from lu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left panel of this figure shows an x-ray image of a person’s hand with rheumatoid arthritis, and the right panel of this figure shows a woman’s body with labels showing the different responses in the body when the patient suffers from lup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564741"/>
                    </a:xfrm>
                    <a:prstGeom prst="rect">
                      <a:avLst/>
                    </a:prstGeom>
                    <a:noFill/>
                    <a:ln>
                      <a:noFill/>
                    </a:ln>
                  </pic:spPr>
                </pic:pic>
              </a:graphicData>
            </a:graphic>
          </wp:inline>
        </w:drawing>
      </w:r>
    </w:p>
    <w:p w:rsidR="00A53CE9" w:rsidRDefault="00192374">
      <w:pPr>
        <w:rPr>
          <w:sz w:val="72"/>
          <w:szCs w:val="72"/>
        </w:rPr>
      </w:pPr>
      <w:r>
        <w:rPr>
          <w:rFonts w:ascii="Georgia" w:hAnsi="Georgia"/>
          <w:color w:val="000000"/>
          <w:sz w:val="29"/>
          <w:szCs w:val="29"/>
          <w:shd w:val="clear" w:color="auto" w:fill="FFFFFF"/>
        </w:rPr>
        <w:t>Figure 2. Autoimmune Disorders: Rheumatoid Arthritis and Lupus. (a) Extensive damage to the right hand of a rheumatoid arthritis sufferer is shown in the x-ray. (b) The diagram shows a variety of possible symptoms of systemic lupus erythematosus.</w:t>
      </w:r>
      <w:r w:rsidR="00A53CE9">
        <w:rPr>
          <w:sz w:val="72"/>
          <w:szCs w:val="72"/>
        </w:rPr>
        <w:br w:type="page"/>
      </w:r>
    </w:p>
    <w:tbl>
      <w:tblPr>
        <w:tblW w:w="10785" w:type="dxa"/>
        <w:tblInd w:w="-721" w:type="dxa"/>
        <w:tblBorders>
          <w:top w:val="single" w:sz="6" w:space="0" w:color="E7E7E7"/>
          <w:left w:val="single" w:sz="6" w:space="0" w:color="E7E7E7"/>
          <w:bottom w:val="single" w:sz="6" w:space="0" w:color="E7E7E7"/>
          <w:right w:val="single" w:sz="6" w:space="0" w:color="E7E7E7"/>
        </w:tblBorders>
        <w:shd w:val="clear" w:color="auto" w:fill="FFFFFF"/>
        <w:tblCellMar>
          <w:left w:w="0" w:type="dxa"/>
          <w:right w:w="0" w:type="dxa"/>
        </w:tblCellMar>
        <w:tblLook w:val="04A0" w:firstRow="1" w:lastRow="0" w:firstColumn="1" w:lastColumn="0" w:noHBand="0" w:noVBand="1"/>
        <w:tblDescription w:val=""/>
      </w:tblPr>
      <w:tblGrid>
        <w:gridCol w:w="2920"/>
        <w:gridCol w:w="4158"/>
        <w:gridCol w:w="3707"/>
      </w:tblGrid>
      <w:tr w:rsidR="00192374" w:rsidRPr="00192374" w:rsidTr="00192374">
        <w:trPr>
          <w:tblHeader/>
        </w:trPr>
        <w:tc>
          <w:tcPr>
            <w:tcW w:w="0" w:type="auto"/>
            <w:gridSpan w:val="3"/>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192374" w:rsidRPr="00192374" w:rsidRDefault="00192374" w:rsidP="00192374">
            <w:pPr>
              <w:spacing w:line="270" w:lineRule="atLeast"/>
              <w:rPr>
                <w:rFonts w:ascii="Georgia" w:eastAsia="Times New Roman" w:hAnsi="Georgia"/>
                <w:b/>
                <w:bCs/>
                <w:color w:val="000000"/>
                <w:sz w:val="18"/>
                <w:szCs w:val="18"/>
              </w:rPr>
            </w:pPr>
            <w:r w:rsidRPr="00192374">
              <w:rPr>
                <w:rFonts w:ascii="Georgia" w:eastAsia="Times New Roman" w:hAnsi="Georgia"/>
                <w:b/>
                <w:bCs/>
                <w:color w:val="000000"/>
                <w:sz w:val="18"/>
                <w:szCs w:val="18"/>
              </w:rPr>
              <w:lastRenderedPageBreak/>
              <w:t>Autoimmune Diseases (Table 7)</w:t>
            </w:r>
          </w:p>
        </w:tc>
      </w:tr>
      <w:tr w:rsidR="00192374" w:rsidRPr="00192374" w:rsidTr="00192374">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192374" w:rsidRPr="00192374" w:rsidRDefault="00192374" w:rsidP="00192374">
            <w:pPr>
              <w:spacing w:line="270" w:lineRule="atLeast"/>
              <w:rPr>
                <w:rFonts w:ascii="Georgia" w:eastAsia="Times New Roman" w:hAnsi="Georgia"/>
                <w:b/>
                <w:bCs/>
                <w:color w:val="000000"/>
                <w:sz w:val="18"/>
                <w:szCs w:val="18"/>
              </w:rPr>
            </w:pPr>
            <w:r w:rsidRPr="00192374">
              <w:rPr>
                <w:rFonts w:ascii="Georgia" w:eastAsia="Times New Roman" w:hAnsi="Georgia"/>
                <w:b/>
                <w:bCs/>
                <w:color w:val="000000"/>
                <w:sz w:val="18"/>
                <w:szCs w:val="18"/>
              </w:rPr>
              <w:t>Disease</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192374" w:rsidRPr="00192374" w:rsidRDefault="00192374" w:rsidP="00192374">
            <w:pPr>
              <w:spacing w:line="270" w:lineRule="atLeast"/>
              <w:rPr>
                <w:rFonts w:ascii="Georgia" w:eastAsia="Times New Roman" w:hAnsi="Georgia"/>
                <w:b/>
                <w:bCs/>
                <w:color w:val="000000"/>
                <w:sz w:val="18"/>
                <w:szCs w:val="18"/>
              </w:rPr>
            </w:pPr>
            <w:r w:rsidRPr="00192374">
              <w:rPr>
                <w:rFonts w:ascii="Georgia" w:eastAsia="Times New Roman" w:hAnsi="Georgia"/>
                <w:b/>
                <w:bCs/>
                <w:color w:val="000000"/>
                <w:sz w:val="18"/>
                <w:szCs w:val="18"/>
              </w:rPr>
              <w:t>Autoantigen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35" w:type="dxa"/>
              <w:left w:w="360" w:type="dxa"/>
              <w:bottom w:w="135" w:type="dxa"/>
              <w:right w:w="360" w:type="dxa"/>
            </w:tcMar>
            <w:vAlign w:val="center"/>
            <w:hideMark/>
          </w:tcPr>
          <w:p w:rsidR="00192374" w:rsidRPr="00192374" w:rsidRDefault="00192374" w:rsidP="00192374">
            <w:pPr>
              <w:spacing w:line="270" w:lineRule="atLeast"/>
              <w:rPr>
                <w:rFonts w:ascii="Georgia" w:eastAsia="Times New Roman" w:hAnsi="Georgia"/>
                <w:b/>
                <w:bCs/>
                <w:color w:val="000000"/>
                <w:sz w:val="18"/>
                <w:szCs w:val="18"/>
              </w:rPr>
            </w:pPr>
            <w:r w:rsidRPr="00192374">
              <w:rPr>
                <w:rFonts w:ascii="Georgia" w:eastAsia="Times New Roman" w:hAnsi="Georgia"/>
                <w:b/>
                <w:bCs/>
                <w:color w:val="000000"/>
                <w:sz w:val="18"/>
                <w:szCs w:val="18"/>
              </w:rPr>
              <w:t>Symptoms</w:t>
            </w:r>
          </w:p>
        </w:tc>
      </w:tr>
      <w:tr w:rsidR="00192374" w:rsidRPr="00192374" w:rsidTr="0019237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92374" w:rsidRPr="00192374" w:rsidRDefault="00192374" w:rsidP="00192374">
            <w:pPr>
              <w:rPr>
                <w:rFonts w:ascii="Georgia" w:eastAsia="Times New Roman" w:hAnsi="Georgia"/>
                <w:color w:val="000000"/>
                <w:sz w:val="32"/>
                <w:szCs w:val="32"/>
              </w:rPr>
            </w:pPr>
            <w:r w:rsidRPr="00192374">
              <w:rPr>
                <w:rFonts w:ascii="Georgia" w:eastAsia="Times New Roman" w:hAnsi="Georgia"/>
                <w:color w:val="000000"/>
                <w:sz w:val="32"/>
                <w:szCs w:val="32"/>
              </w:rPr>
              <w:t>Celiac disease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92374" w:rsidRPr="00192374" w:rsidRDefault="00192374" w:rsidP="00192374">
            <w:pPr>
              <w:rPr>
                <w:rFonts w:ascii="Georgia" w:eastAsia="Times New Roman" w:hAnsi="Georgia"/>
                <w:color w:val="000000"/>
                <w:sz w:val="32"/>
                <w:szCs w:val="32"/>
              </w:rPr>
            </w:pPr>
            <w:r w:rsidRPr="00192374">
              <w:rPr>
                <w:rFonts w:ascii="Georgia" w:eastAsia="Times New Roman" w:hAnsi="Georgia"/>
                <w:color w:val="000000"/>
                <w:sz w:val="32"/>
                <w:szCs w:val="32"/>
              </w:rPr>
              <w:t>Tissue transglutaminase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92374" w:rsidRPr="00192374" w:rsidRDefault="00192374" w:rsidP="00192374">
            <w:pPr>
              <w:rPr>
                <w:rFonts w:ascii="Georgia" w:eastAsia="Times New Roman" w:hAnsi="Georgia"/>
                <w:color w:val="000000"/>
                <w:sz w:val="32"/>
                <w:szCs w:val="32"/>
              </w:rPr>
            </w:pPr>
            <w:r w:rsidRPr="00192374">
              <w:rPr>
                <w:rFonts w:ascii="Georgia" w:eastAsia="Times New Roman" w:hAnsi="Georgia"/>
                <w:color w:val="000000"/>
                <w:sz w:val="32"/>
                <w:szCs w:val="32"/>
              </w:rPr>
              <w:t>Damage to small intestine</w:t>
            </w:r>
          </w:p>
        </w:tc>
      </w:tr>
      <w:tr w:rsidR="00192374" w:rsidRPr="00192374" w:rsidTr="0019237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92374" w:rsidRPr="00192374" w:rsidRDefault="00192374" w:rsidP="00192374">
            <w:pPr>
              <w:rPr>
                <w:rFonts w:ascii="Georgia" w:eastAsia="Times New Roman" w:hAnsi="Georgia"/>
                <w:color w:val="000000"/>
                <w:sz w:val="32"/>
                <w:szCs w:val="32"/>
              </w:rPr>
            </w:pPr>
            <w:r w:rsidRPr="00192374">
              <w:rPr>
                <w:rFonts w:ascii="Georgia" w:eastAsia="Times New Roman" w:hAnsi="Georgia"/>
                <w:color w:val="000000"/>
                <w:sz w:val="32"/>
                <w:szCs w:val="32"/>
              </w:rPr>
              <w:t>Diabetes mellitus type 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92374" w:rsidRPr="00192374" w:rsidRDefault="00192374" w:rsidP="00192374">
            <w:pPr>
              <w:rPr>
                <w:rFonts w:ascii="Georgia" w:eastAsia="Times New Roman" w:hAnsi="Georgia"/>
                <w:color w:val="000000"/>
                <w:sz w:val="32"/>
                <w:szCs w:val="32"/>
              </w:rPr>
            </w:pPr>
            <w:r w:rsidRPr="00192374">
              <w:rPr>
                <w:rFonts w:ascii="Georgia" w:eastAsia="Times New Roman" w:hAnsi="Georgia"/>
                <w:color w:val="000000"/>
                <w:sz w:val="32"/>
                <w:szCs w:val="32"/>
              </w:rPr>
              <w:t>Beta cells of pancreas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92374" w:rsidRPr="00192374" w:rsidRDefault="00192374" w:rsidP="00192374">
            <w:pPr>
              <w:rPr>
                <w:rFonts w:ascii="Georgia" w:eastAsia="Times New Roman" w:hAnsi="Georgia"/>
                <w:color w:val="000000"/>
                <w:sz w:val="32"/>
                <w:szCs w:val="32"/>
              </w:rPr>
            </w:pPr>
            <w:r w:rsidRPr="00192374">
              <w:rPr>
                <w:rFonts w:ascii="Georgia" w:eastAsia="Times New Roman" w:hAnsi="Georgia"/>
                <w:color w:val="000000"/>
                <w:sz w:val="32"/>
                <w:szCs w:val="32"/>
              </w:rPr>
              <w:t>Low insulin production; inability to regulate serum glucose</w:t>
            </w:r>
          </w:p>
        </w:tc>
      </w:tr>
      <w:tr w:rsidR="00192374" w:rsidRPr="00192374" w:rsidTr="0019237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92374" w:rsidRPr="00192374" w:rsidRDefault="00192374" w:rsidP="00192374">
            <w:pPr>
              <w:rPr>
                <w:rFonts w:ascii="Georgia" w:eastAsia="Times New Roman" w:hAnsi="Georgia"/>
                <w:color w:val="000000"/>
                <w:sz w:val="32"/>
                <w:szCs w:val="32"/>
              </w:rPr>
            </w:pPr>
            <w:r w:rsidRPr="00192374">
              <w:rPr>
                <w:rFonts w:ascii="Georgia" w:eastAsia="Times New Roman" w:hAnsi="Georgia"/>
                <w:color w:val="000000"/>
                <w:sz w:val="32"/>
                <w:szCs w:val="32"/>
              </w:rPr>
              <w:t>Graves’ disease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92374" w:rsidRPr="00192374" w:rsidRDefault="00192374" w:rsidP="00192374">
            <w:pPr>
              <w:rPr>
                <w:rFonts w:ascii="Georgia" w:eastAsia="Times New Roman" w:hAnsi="Georgia"/>
                <w:color w:val="000000"/>
                <w:sz w:val="32"/>
                <w:szCs w:val="32"/>
              </w:rPr>
            </w:pPr>
            <w:r w:rsidRPr="00192374">
              <w:rPr>
                <w:rFonts w:ascii="Georgia" w:eastAsia="Times New Roman" w:hAnsi="Georgia"/>
                <w:color w:val="000000"/>
                <w:sz w:val="32"/>
                <w:szCs w:val="32"/>
              </w:rPr>
              <w:t>Thyroid-stimulating hormone receptor (antibody blocks receptor)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92374" w:rsidRPr="00192374" w:rsidRDefault="00192374" w:rsidP="00192374">
            <w:pPr>
              <w:rPr>
                <w:rFonts w:ascii="Georgia" w:eastAsia="Times New Roman" w:hAnsi="Georgia"/>
                <w:color w:val="000000"/>
                <w:sz w:val="32"/>
                <w:szCs w:val="32"/>
              </w:rPr>
            </w:pPr>
            <w:r w:rsidRPr="00192374">
              <w:rPr>
                <w:rFonts w:ascii="Georgia" w:eastAsia="Times New Roman" w:hAnsi="Georgia"/>
                <w:color w:val="000000"/>
                <w:sz w:val="32"/>
                <w:szCs w:val="32"/>
              </w:rPr>
              <w:t>Hyperthyroidism</w:t>
            </w:r>
          </w:p>
        </w:tc>
      </w:tr>
      <w:tr w:rsidR="00192374" w:rsidRPr="00192374" w:rsidTr="0019237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92374" w:rsidRPr="00192374" w:rsidRDefault="00192374" w:rsidP="00192374">
            <w:pPr>
              <w:rPr>
                <w:rFonts w:ascii="Georgia" w:eastAsia="Times New Roman" w:hAnsi="Georgia"/>
                <w:color w:val="000000"/>
                <w:sz w:val="32"/>
                <w:szCs w:val="32"/>
              </w:rPr>
            </w:pPr>
            <w:r w:rsidRPr="00192374">
              <w:rPr>
                <w:rFonts w:ascii="Georgia" w:eastAsia="Times New Roman" w:hAnsi="Georgia"/>
                <w:color w:val="000000"/>
                <w:sz w:val="32"/>
                <w:szCs w:val="32"/>
              </w:rPr>
              <w:t>Hashimoto’s thyroiditis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92374" w:rsidRPr="00192374" w:rsidRDefault="00192374" w:rsidP="00192374">
            <w:pPr>
              <w:rPr>
                <w:rFonts w:ascii="Georgia" w:eastAsia="Times New Roman" w:hAnsi="Georgia"/>
                <w:color w:val="000000"/>
                <w:sz w:val="32"/>
                <w:szCs w:val="32"/>
              </w:rPr>
            </w:pPr>
            <w:r w:rsidRPr="00192374">
              <w:rPr>
                <w:rFonts w:ascii="Georgia" w:eastAsia="Times New Roman" w:hAnsi="Georgia"/>
                <w:color w:val="000000"/>
                <w:sz w:val="32"/>
                <w:szCs w:val="32"/>
              </w:rPr>
              <w:t>Thyroid-stimulating hormone receptor (antibody mimics hormone and stimulates receptor)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92374" w:rsidRPr="00192374" w:rsidRDefault="00192374" w:rsidP="00192374">
            <w:pPr>
              <w:rPr>
                <w:rFonts w:ascii="Georgia" w:eastAsia="Times New Roman" w:hAnsi="Georgia"/>
                <w:color w:val="000000"/>
                <w:sz w:val="32"/>
                <w:szCs w:val="32"/>
              </w:rPr>
            </w:pPr>
            <w:r w:rsidRPr="00192374">
              <w:rPr>
                <w:rFonts w:ascii="Georgia" w:eastAsia="Times New Roman" w:hAnsi="Georgia"/>
                <w:color w:val="000000"/>
                <w:sz w:val="32"/>
                <w:szCs w:val="32"/>
              </w:rPr>
              <w:t>Hypothyroidism</w:t>
            </w:r>
          </w:p>
        </w:tc>
      </w:tr>
      <w:tr w:rsidR="00192374" w:rsidRPr="00192374" w:rsidTr="0019237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92374" w:rsidRPr="00192374" w:rsidRDefault="00192374" w:rsidP="00192374">
            <w:pPr>
              <w:rPr>
                <w:rFonts w:ascii="Georgia" w:eastAsia="Times New Roman" w:hAnsi="Georgia"/>
                <w:color w:val="000000"/>
                <w:sz w:val="32"/>
                <w:szCs w:val="32"/>
              </w:rPr>
            </w:pPr>
            <w:r w:rsidRPr="00192374">
              <w:rPr>
                <w:rFonts w:ascii="Georgia" w:eastAsia="Times New Roman" w:hAnsi="Georgia"/>
                <w:color w:val="000000"/>
                <w:sz w:val="32"/>
                <w:szCs w:val="32"/>
              </w:rPr>
              <w:t>Lupus erythematosus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92374" w:rsidRPr="00192374" w:rsidRDefault="00192374" w:rsidP="00192374">
            <w:pPr>
              <w:rPr>
                <w:rFonts w:ascii="Georgia" w:eastAsia="Times New Roman" w:hAnsi="Georgia"/>
                <w:color w:val="000000"/>
                <w:sz w:val="32"/>
                <w:szCs w:val="32"/>
              </w:rPr>
            </w:pPr>
            <w:r w:rsidRPr="00192374">
              <w:rPr>
                <w:rFonts w:ascii="Georgia" w:eastAsia="Times New Roman" w:hAnsi="Georgia"/>
                <w:color w:val="000000"/>
                <w:sz w:val="32"/>
                <w:szCs w:val="32"/>
              </w:rPr>
              <w:t>Nuclear DNA and proteins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92374" w:rsidRPr="00192374" w:rsidRDefault="00192374" w:rsidP="00192374">
            <w:pPr>
              <w:rPr>
                <w:rFonts w:ascii="Georgia" w:eastAsia="Times New Roman" w:hAnsi="Georgia"/>
                <w:color w:val="000000"/>
                <w:sz w:val="32"/>
                <w:szCs w:val="32"/>
              </w:rPr>
            </w:pPr>
            <w:r w:rsidRPr="00192374">
              <w:rPr>
                <w:rFonts w:ascii="Georgia" w:eastAsia="Times New Roman" w:hAnsi="Georgia"/>
                <w:color w:val="000000"/>
                <w:sz w:val="32"/>
                <w:szCs w:val="32"/>
              </w:rPr>
              <w:t>Damage of many body systems</w:t>
            </w:r>
          </w:p>
        </w:tc>
      </w:tr>
      <w:tr w:rsidR="00192374" w:rsidRPr="00192374" w:rsidTr="0019237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92374" w:rsidRPr="00192374" w:rsidRDefault="00192374" w:rsidP="00192374">
            <w:pPr>
              <w:rPr>
                <w:rFonts w:ascii="Georgia" w:eastAsia="Times New Roman" w:hAnsi="Georgia"/>
                <w:color w:val="000000"/>
                <w:sz w:val="32"/>
                <w:szCs w:val="32"/>
              </w:rPr>
            </w:pPr>
            <w:r w:rsidRPr="00192374">
              <w:rPr>
                <w:rFonts w:ascii="Georgia" w:eastAsia="Times New Roman" w:hAnsi="Georgia"/>
                <w:color w:val="000000"/>
                <w:sz w:val="32"/>
                <w:szCs w:val="32"/>
              </w:rPr>
              <w:t>Myasthenia gravis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92374" w:rsidRPr="00192374" w:rsidRDefault="00192374" w:rsidP="00192374">
            <w:pPr>
              <w:rPr>
                <w:rFonts w:ascii="Georgia" w:eastAsia="Times New Roman" w:hAnsi="Georgia"/>
                <w:color w:val="000000"/>
                <w:sz w:val="32"/>
                <w:szCs w:val="32"/>
              </w:rPr>
            </w:pPr>
            <w:r w:rsidRPr="00192374">
              <w:rPr>
                <w:rFonts w:ascii="Georgia" w:eastAsia="Times New Roman" w:hAnsi="Georgia"/>
                <w:color w:val="000000"/>
                <w:sz w:val="32"/>
                <w:szCs w:val="32"/>
              </w:rPr>
              <w:t>Acetylcholine receptor in neuromuscular junctions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92374" w:rsidRPr="00192374" w:rsidRDefault="00192374" w:rsidP="00192374">
            <w:pPr>
              <w:rPr>
                <w:rFonts w:ascii="Georgia" w:eastAsia="Times New Roman" w:hAnsi="Georgia"/>
                <w:color w:val="000000"/>
                <w:sz w:val="32"/>
                <w:szCs w:val="32"/>
              </w:rPr>
            </w:pPr>
            <w:r w:rsidRPr="00192374">
              <w:rPr>
                <w:rFonts w:ascii="Georgia" w:eastAsia="Times New Roman" w:hAnsi="Georgia"/>
                <w:color w:val="000000"/>
                <w:sz w:val="32"/>
                <w:szCs w:val="32"/>
              </w:rPr>
              <w:t>Debilitating muscle weakness</w:t>
            </w:r>
          </w:p>
        </w:tc>
      </w:tr>
      <w:tr w:rsidR="00192374" w:rsidRPr="00192374" w:rsidTr="0019237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92374" w:rsidRPr="00192374" w:rsidRDefault="00192374" w:rsidP="00192374">
            <w:pPr>
              <w:rPr>
                <w:rFonts w:ascii="Georgia" w:eastAsia="Times New Roman" w:hAnsi="Georgia"/>
                <w:color w:val="000000"/>
                <w:sz w:val="32"/>
                <w:szCs w:val="32"/>
              </w:rPr>
            </w:pPr>
            <w:r w:rsidRPr="00192374">
              <w:rPr>
                <w:rFonts w:ascii="Georgia" w:eastAsia="Times New Roman" w:hAnsi="Georgia"/>
                <w:color w:val="000000"/>
                <w:sz w:val="32"/>
                <w:szCs w:val="32"/>
              </w:rPr>
              <w:t>Rheumatoid arthritis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92374" w:rsidRPr="00192374" w:rsidRDefault="00192374" w:rsidP="00192374">
            <w:pPr>
              <w:rPr>
                <w:rFonts w:ascii="Georgia" w:eastAsia="Times New Roman" w:hAnsi="Georgia"/>
                <w:color w:val="000000"/>
                <w:sz w:val="32"/>
                <w:szCs w:val="32"/>
              </w:rPr>
            </w:pPr>
            <w:r w:rsidRPr="00192374">
              <w:rPr>
                <w:rFonts w:ascii="Georgia" w:eastAsia="Times New Roman" w:hAnsi="Georgia"/>
                <w:color w:val="000000"/>
                <w:sz w:val="32"/>
                <w:szCs w:val="32"/>
              </w:rPr>
              <w:t>Joint capsule antigens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92374" w:rsidRPr="00192374" w:rsidRDefault="00192374" w:rsidP="00192374">
            <w:pPr>
              <w:rPr>
                <w:rFonts w:ascii="Georgia" w:eastAsia="Times New Roman" w:hAnsi="Georgia"/>
                <w:color w:val="000000"/>
                <w:sz w:val="32"/>
                <w:szCs w:val="32"/>
              </w:rPr>
            </w:pPr>
            <w:r w:rsidRPr="00192374">
              <w:rPr>
                <w:rFonts w:ascii="Georgia" w:eastAsia="Times New Roman" w:hAnsi="Georgia"/>
                <w:color w:val="000000"/>
                <w:sz w:val="32"/>
                <w:szCs w:val="32"/>
              </w:rPr>
              <w:t>Chronic inflammation of joints</w:t>
            </w:r>
          </w:p>
        </w:tc>
      </w:tr>
    </w:tbl>
    <w:p w:rsidR="00A53CE9" w:rsidRDefault="00A53CE9">
      <w:pPr>
        <w:rPr>
          <w:sz w:val="72"/>
          <w:szCs w:val="72"/>
        </w:rPr>
      </w:pPr>
    </w:p>
    <w:sectPr w:rsidR="00A53CE9" w:rsidSect="005650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E95F57"/>
    <w:multiLevelType w:val="hybridMultilevel"/>
    <w:tmpl w:val="295862C0"/>
    <w:lvl w:ilvl="0" w:tplc="3D58C1D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891"/>
    <w:rsid w:val="00081E36"/>
    <w:rsid w:val="000C5B44"/>
    <w:rsid w:val="001474FB"/>
    <w:rsid w:val="00192374"/>
    <w:rsid w:val="002713C2"/>
    <w:rsid w:val="00291E3C"/>
    <w:rsid w:val="002E773B"/>
    <w:rsid w:val="00301096"/>
    <w:rsid w:val="00306D86"/>
    <w:rsid w:val="0034717A"/>
    <w:rsid w:val="00370799"/>
    <w:rsid w:val="003A0F20"/>
    <w:rsid w:val="003C79E7"/>
    <w:rsid w:val="004A0787"/>
    <w:rsid w:val="00511470"/>
    <w:rsid w:val="00523F6B"/>
    <w:rsid w:val="00534ABD"/>
    <w:rsid w:val="00542C34"/>
    <w:rsid w:val="00555D07"/>
    <w:rsid w:val="005650DD"/>
    <w:rsid w:val="005B7891"/>
    <w:rsid w:val="005E5655"/>
    <w:rsid w:val="0060556E"/>
    <w:rsid w:val="00617AA0"/>
    <w:rsid w:val="00650871"/>
    <w:rsid w:val="0065662B"/>
    <w:rsid w:val="0066614E"/>
    <w:rsid w:val="006756A4"/>
    <w:rsid w:val="006A4F54"/>
    <w:rsid w:val="006B7DBD"/>
    <w:rsid w:val="0071751A"/>
    <w:rsid w:val="00774CD9"/>
    <w:rsid w:val="00783766"/>
    <w:rsid w:val="0089700F"/>
    <w:rsid w:val="008E6B3D"/>
    <w:rsid w:val="0093020B"/>
    <w:rsid w:val="0099569B"/>
    <w:rsid w:val="00A05180"/>
    <w:rsid w:val="00A14A96"/>
    <w:rsid w:val="00A24B30"/>
    <w:rsid w:val="00A53CE9"/>
    <w:rsid w:val="00A65EA3"/>
    <w:rsid w:val="00A92523"/>
    <w:rsid w:val="00B520CA"/>
    <w:rsid w:val="00BE26DF"/>
    <w:rsid w:val="00BF6EDF"/>
    <w:rsid w:val="00C10031"/>
    <w:rsid w:val="00C64BD4"/>
    <w:rsid w:val="00C77A97"/>
    <w:rsid w:val="00C923FC"/>
    <w:rsid w:val="00CA1CCD"/>
    <w:rsid w:val="00CC4F62"/>
    <w:rsid w:val="00CF6655"/>
    <w:rsid w:val="00D03024"/>
    <w:rsid w:val="00D04083"/>
    <w:rsid w:val="00D6371C"/>
    <w:rsid w:val="00E064B4"/>
    <w:rsid w:val="00E74A2A"/>
    <w:rsid w:val="00EE67C7"/>
    <w:rsid w:val="00F47595"/>
    <w:rsid w:val="00F72A46"/>
    <w:rsid w:val="00FA3373"/>
    <w:rsid w:val="00FE3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044D8B-E46B-4366-8404-E1BF8373F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891"/>
    <w:rPr>
      <w:rFonts w:eastAsia="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7891"/>
    <w:rPr>
      <w:rFonts w:ascii="Tahoma" w:hAnsi="Tahoma" w:cs="Tahoma"/>
      <w:sz w:val="16"/>
      <w:szCs w:val="16"/>
    </w:rPr>
  </w:style>
  <w:style w:type="character" w:customStyle="1" w:styleId="BalloonTextChar">
    <w:name w:val="Balloon Text Char"/>
    <w:basedOn w:val="DefaultParagraphFont"/>
    <w:link w:val="BalloonText"/>
    <w:uiPriority w:val="99"/>
    <w:semiHidden/>
    <w:rsid w:val="005B7891"/>
    <w:rPr>
      <w:rFonts w:ascii="Tahoma" w:eastAsia="Calibri" w:hAnsi="Tahoma" w:cs="Tahoma"/>
      <w:sz w:val="16"/>
      <w:szCs w:val="16"/>
    </w:rPr>
  </w:style>
  <w:style w:type="character" w:styleId="Strong">
    <w:name w:val="Strong"/>
    <w:basedOn w:val="DefaultParagraphFont"/>
    <w:uiPriority w:val="22"/>
    <w:qFormat/>
    <w:rsid w:val="00783766"/>
    <w:rPr>
      <w:b/>
      <w:bCs/>
    </w:rPr>
  </w:style>
  <w:style w:type="paragraph" w:styleId="ListParagraph">
    <w:name w:val="List Paragraph"/>
    <w:basedOn w:val="Normal"/>
    <w:uiPriority w:val="34"/>
    <w:qFormat/>
    <w:rsid w:val="00C923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53504">
      <w:bodyDiv w:val="1"/>
      <w:marLeft w:val="0"/>
      <w:marRight w:val="0"/>
      <w:marTop w:val="0"/>
      <w:marBottom w:val="0"/>
      <w:divBdr>
        <w:top w:val="none" w:sz="0" w:space="0" w:color="auto"/>
        <w:left w:val="none" w:sz="0" w:space="0" w:color="auto"/>
        <w:bottom w:val="none" w:sz="0" w:space="0" w:color="auto"/>
        <w:right w:val="none" w:sz="0" w:space="0" w:color="auto"/>
      </w:divBdr>
    </w:div>
    <w:div w:id="523831726">
      <w:bodyDiv w:val="1"/>
      <w:marLeft w:val="0"/>
      <w:marRight w:val="0"/>
      <w:marTop w:val="0"/>
      <w:marBottom w:val="0"/>
      <w:divBdr>
        <w:top w:val="none" w:sz="0" w:space="0" w:color="auto"/>
        <w:left w:val="none" w:sz="0" w:space="0" w:color="auto"/>
        <w:bottom w:val="none" w:sz="0" w:space="0" w:color="auto"/>
        <w:right w:val="none" w:sz="0" w:space="0" w:color="auto"/>
      </w:divBdr>
    </w:div>
    <w:div w:id="645355390">
      <w:bodyDiv w:val="1"/>
      <w:marLeft w:val="0"/>
      <w:marRight w:val="0"/>
      <w:marTop w:val="0"/>
      <w:marBottom w:val="0"/>
      <w:divBdr>
        <w:top w:val="none" w:sz="0" w:space="0" w:color="auto"/>
        <w:left w:val="none" w:sz="0" w:space="0" w:color="auto"/>
        <w:bottom w:val="none" w:sz="0" w:space="0" w:color="auto"/>
        <w:right w:val="none" w:sz="0" w:space="0" w:color="auto"/>
      </w:divBdr>
    </w:div>
    <w:div w:id="969482116">
      <w:bodyDiv w:val="1"/>
      <w:marLeft w:val="0"/>
      <w:marRight w:val="0"/>
      <w:marTop w:val="0"/>
      <w:marBottom w:val="0"/>
      <w:divBdr>
        <w:top w:val="none" w:sz="0" w:space="0" w:color="auto"/>
        <w:left w:val="none" w:sz="0" w:space="0" w:color="auto"/>
        <w:bottom w:val="none" w:sz="0" w:space="0" w:color="auto"/>
        <w:right w:val="none" w:sz="0" w:space="0" w:color="auto"/>
      </w:divBdr>
    </w:div>
    <w:div w:id="1174152395">
      <w:bodyDiv w:val="1"/>
      <w:marLeft w:val="0"/>
      <w:marRight w:val="0"/>
      <w:marTop w:val="0"/>
      <w:marBottom w:val="0"/>
      <w:divBdr>
        <w:top w:val="none" w:sz="0" w:space="0" w:color="auto"/>
        <w:left w:val="none" w:sz="0" w:space="0" w:color="auto"/>
        <w:bottom w:val="none" w:sz="0" w:space="0" w:color="auto"/>
        <w:right w:val="none" w:sz="0" w:space="0" w:color="auto"/>
      </w:divBdr>
      <w:divsChild>
        <w:div w:id="853567357">
          <w:marLeft w:val="0"/>
          <w:marRight w:val="0"/>
          <w:marTop w:val="0"/>
          <w:marBottom w:val="0"/>
          <w:divBdr>
            <w:top w:val="none" w:sz="0" w:space="0" w:color="auto"/>
            <w:left w:val="none" w:sz="0" w:space="0" w:color="auto"/>
            <w:bottom w:val="none" w:sz="0" w:space="0" w:color="auto"/>
            <w:right w:val="none" w:sz="0" w:space="0" w:color="auto"/>
          </w:divBdr>
          <w:divsChild>
            <w:div w:id="217514946">
              <w:marLeft w:val="0"/>
              <w:marRight w:val="0"/>
              <w:marTop w:val="0"/>
              <w:marBottom w:val="0"/>
              <w:divBdr>
                <w:top w:val="none" w:sz="0" w:space="0" w:color="auto"/>
                <w:left w:val="single" w:sz="6" w:space="0" w:color="B4B2B2"/>
                <w:bottom w:val="none" w:sz="0" w:space="0" w:color="auto"/>
                <w:right w:val="single" w:sz="6" w:space="0" w:color="B4B2B2"/>
              </w:divBdr>
              <w:divsChild>
                <w:div w:id="1551307150">
                  <w:marLeft w:val="0"/>
                  <w:marRight w:val="0"/>
                  <w:marTop w:val="0"/>
                  <w:marBottom w:val="0"/>
                  <w:divBdr>
                    <w:top w:val="none" w:sz="0" w:space="0" w:color="auto"/>
                    <w:left w:val="none" w:sz="0" w:space="0" w:color="auto"/>
                    <w:bottom w:val="none" w:sz="0" w:space="0" w:color="auto"/>
                    <w:right w:val="none" w:sz="0" w:space="0" w:color="auto"/>
                  </w:divBdr>
                  <w:divsChild>
                    <w:div w:id="1287929506">
                      <w:marLeft w:val="0"/>
                      <w:marRight w:val="0"/>
                      <w:marTop w:val="0"/>
                      <w:marBottom w:val="0"/>
                      <w:divBdr>
                        <w:top w:val="none" w:sz="0" w:space="0" w:color="auto"/>
                        <w:left w:val="none" w:sz="0" w:space="0" w:color="auto"/>
                        <w:bottom w:val="none" w:sz="0" w:space="0" w:color="auto"/>
                        <w:right w:val="none" w:sz="0" w:space="0" w:color="auto"/>
                      </w:divBdr>
                      <w:divsChild>
                        <w:div w:id="1389114110">
                          <w:marLeft w:val="0"/>
                          <w:marRight w:val="0"/>
                          <w:marTop w:val="0"/>
                          <w:marBottom w:val="0"/>
                          <w:divBdr>
                            <w:top w:val="none" w:sz="0" w:space="0" w:color="auto"/>
                            <w:left w:val="none" w:sz="0" w:space="0" w:color="auto"/>
                            <w:bottom w:val="none" w:sz="0" w:space="0" w:color="auto"/>
                            <w:right w:val="none" w:sz="0" w:space="0" w:color="auto"/>
                          </w:divBdr>
                          <w:divsChild>
                            <w:div w:id="1792432710">
                              <w:marLeft w:val="0"/>
                              <w:marRight w:val="0"/>
                              <w:marTop w:val="0"/>
                              <w:marBottom w:val="0"/>
                              <w:divBdr>
                                <w:top w:val="none" w:sz="0" w:space="0" w:color="auto"/>
                                <w:left w:val="none" w:sz="0" w:space="0" w:color="auto"/>
                                <w:bottom w:val="none" w:sz="0" w:space="0" w:color="auto"/>
                                <w:right w:val="none" w:sz="0" w:space="0" w:color="auto"/>
                              </w:divBdr>
                              <w:divsChild>
                                <w:div w:id="1212301920">
                                  <w:marLeft w:val="0"/>
                                  <w:marRight w:val="0"/>
                                  <w:marTop w:val="0"/>
                                  <w:marBottom w:val="300"/>
                                  <w:divBdr>
                                    <w:top w:val="single" w:sz="36" w:space="6" w:color="000000"/>
                                    <w:left w:val="none" w:sz="0" w:space="0" w:color="auto"/>
                                    <w:bottom w:val="none" w:sz="0" w:space="0" w:color="auto"/>
                                    <w:right w:val="none" w:sz="0" w:space="0" w:color="auto"/>
                                  </w:divBdr>
                                  <w:divsChild>
                                    <w:div w:id="1053892272">
                                      <w:marLeft w:val="0"/>
                                      <w:marRight w:val="0"/>
                                      <w:marTop w:val="0"/>
                                      <w:marBottom w:val="0"/>
                                      <w:divBdr>
                                        <w:top w:val="none" w:sz="0" w:space="0" w:color="auto"/>
                                        <w:left w:val="none" w:sz="0" w:space="0" w:color="auto"/>
                                        <w:bottom w:val="none" w:sz="0" w:space="0" w:color="auto"/>
                                        <w:right w:val="none" w:sz="0" w:space="0" w:color="auto"/>
                                      </w:divBdr>
                                      <w:divsChild>
                                        <w:div w:id="988558244">
                                          <w:marLeft w:val="0"/>
                                          <w:marRight w:val="0"/>
                                          <w:marTop w:val="0"/>
                                          <w:marBottom w:val="150"/>
                                          <w:divBdr>
                                            <w:top w:val="none" w:sz="0" w:space="0" w:color="auto"/>
                                            <w:left w:val="none" w:sz="0" w:space="0" w:color="auto"/>
                                            <w:bottom w:val="none" w:sz="0" w:space="0" w:color="auto"/>
                                            <w:right w:val="none" w:sz="0" w:space="0" w:color="auto"/>
                                          </w:divBdr>
                                          <w:divsChild>
                                            <w:div w:id="1272514499">
                                              <w:blockQuote w:val="1"/>
                                              <w:marLeft w:val="0"/>
                                              <w:marRight w:val="0"/>
                                              <w:marTop w:val="0"/>
                                              <w:marBottom w:val="225"/>
                                              <w:divBdr>
                                                <w:top w:val="none" w:sz="0" w:space="0" w:color="auto"/>
                                                <w:left w:val="single" w:sz="18" w:space="11" w:color="E5E5E5"/>
                                                <w:bottom w:val="none" w:sz="0" w:space="0" w:color="auto"/>
                                                <w:right w:val="none" w:sz="0" w:space="0" w:color="auto"/>
                                              </w:divBdr>
                                            </w:div>
                                          </w:divsChild>
                                        </w:div>
                                      </w:divsChild>
                                    </w:div>
                                  </w:divsChild>
                                </w:div>
                              </w:divsChild>
                            </w:div>
                          </w:divsChild>
                        </w:div>
                      </w:divsChild>
                    </w:div>
                  </w:divsChild>
                </w:div>
              </w:divsChild>
            </w:div>
          </w:divsChild>
        </w:div>
      </w:divsChild>
    </w:div>
    <w:div w:id="146750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918FE-3DA2-4153-89BF-3A33BDCAB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43</Pages>
  <Words>790</Words>
  <Characters>4504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BMCC</Company>
  <LinksUpToDate>false</LinksUpToDate>
  <CharactersWithSpaces>5284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mmiller</dc:creator>
  <cp:keywords/>
  <dc:description/>
  <cp:lastModifiedBy>Michelle Miller</cp:lastModifiedBy>
  <cp:revision>9</cp:revision>
  <dcterms:created xsi:type="dcterms:W3CDTF">2018-08-28T21:01:00Z</dcterms:created>
  <dcterms:modified xsi:type="dcterms:W3CDTF">2018-09-26T16:51:00Z</dcterms:modified>
</cp:coreProperties>
</file>